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6D" w:rsidRPr="00C9796D" w:rsidRDefault="00C9796D" w:rsidP="00C9796D">
      <w:pPr>
        <w:spacing w:after="0" w:line="276" w:lineRule="auto"/>
        <w:contextualSpacing/>
        <w:rPr>
          <w:b/>
        </w:rPr>
      </w:pPr>
      <w:r w:rsidRPr="00C9796D">
        <w:rPr>
          <w:b/>
        </w:rPr>
        <w:t>Beispiel für LF 4 „Wahrnehmung und Beobachtung“</w:t>
      </w:r>
    </w:p>
    <w:p w:rsidR="00C9796D" w:rsidRPr="00C9796D" w:rsidRDefault="00C9796D" w:rsidP="00C9796D">
      <w:pPr>
        <w:rPr>
          <w:rFonts w:eastAsiaTheme="minorEastAsia"/>
          <w:lang w:eastAsia="de-DE"/>
        </w:rPr>
      </w:pPr>
    </w:p>
    <w:tbl>
      <w:tblPr>
        <w:tblStyle w:val="Tabellenraster"/>
        <w:tblW w:w="9071" w:type="dxa"/>
        <w:tblInd w:w="15" w:type="dxa"/>
        <w:tblLook w:val="04A0" w:firstRow="1" w:lastRow="0" w:firstColumn="1" w:lastColumn="0" w:noHBand="0" w:noVBand="1"/>
      </w:tblPr>
      <w:tblGrid>
        <w:gridCol w:w="1134"/>
        <w:gridCol w:w="6803"/>
        <w:gridCol w:w="1134"/>
      </w:tblGrid>
      <w:tr w:rsidR="00C9796D" w:rsidRPr="00C9796D" w:rsidTr="005B6DED">
        <w:tc>
          <w:tcPr>
            <w:tcW w:w="1134" w:type="dxa"/>
            <w:tcBorders>
              <w:top w:val="single" w:sz="4" w:space="0" w:color="auto"/>
              <w:left w:val="single" w:sz="4" w:space="0" w:color="auto"/>
              <w:bottom w:val="single" w:sz="4" w:space="0" w:color="auto"/>
              <w:right w:val="single" w:sz="4" w:space="0" w:color="auto"/>
            </w:tcBorders>
            <w:shd w:val="clear" w:color="auto" w:fill="B9D36C"/>
            <w:vAlign w:val="center"/>
          </w:tcPr>
          <w:p w:rsidR="00C9796D" w:rsidRPr="00C9796D" w:rsidRDefault="00C9796D" w:rsidP="000F16E9">
            <w:pPr>
              <w:tabs>
                <w:tab w:val="left" w:pos="6125"/>
              </w:tabs>
              <w:spacing w:after="160" w:line="259" w:lineRule="auto"/>
              <w:rPr>
                <w:rFonts w:eastAsiaTheme="minorEastAsia"/>
                <w:b/>
                <w:lang w:eastAsia="de-DE"/>
              </w:rPr>
            </w:pPr>
            <w:r w:rsidRPr="00C9796D">
              <w:rPr>
                <w:rFonts w:eastAsiaTheme="minorEastAsia"/>
                <w:b/>
                <w:lang w:eastAsia="de-DE"/>
              </w:rPr>
              <w:t>CE 02</w:t>
            </w:r>
          </w:p>
        </w:tc>
        <w:tc>
          <w:tcPr>
            <w:tcW w:w="6803" w:type="dxa"/>
            <w:tcBorders>
              <w:top w:val="single" w:sz="4" w:space="0" w:color="auto"/>
              <w:left w:val="single" w:sz="4" w:space="0" w:color="auto"/>
              <w:bottom w:val="single" w:sz="4" w:space="0" w:color="auto"/>
              <w:right w:val="single" w:sz="4" w:space="0" w:color="auto"/>
            </w:tcBorders>
            <w:shd w:val="clear" w:color="auto" w:fill="B9D36C"/>
            <w:vAlign w:val="center"/>
          </w:tcPr>
          <w:p w:rsidR="00C9796D" w:rsidRPr="00C9796D" w:rsidRDefault="00C9796D" w:rsidP="000F16E9">
            <w:pPr>
              <w:tabs>
                <w:tab w:val="left" w:pos="6125"/>
              </w:tabs>
              <w:spacing w:after="160" w:line="259" w:lineRule="auto"/>
              <w:ind w:left="174"/>
              <w:rPr>
                <w:rFonts w:eastAsiaTheme="minorEastAsia"/>
                <w:b/>
                <w:lang w:eastAsia="de-DE"/>
              </w:rPr>
            </w:pPr>
            <w:r w:rsidRPr="00C9796D">
              <w:rPr>
                <w:rFonts w:eastAsiaTheme="minorEastAsia"/>
                <w:b/>
                <w:lang w:eastAsia="de-DE"/>
              </w:rPr>
              <w:t>Zu pflegende Menschen in der Bewegung und Selbstversorgung unterstützen</w:t>
            </w:r>
          </w:p>
        </w:tc>
        <w:tc>
          <w:tcPr>
            <w:tcW w:w="1134" w:type="dxa"/>
            <w:tcBorders>
              <w:top w:val="single" w:sz="4" w:space="0" w:color="auto"/>
              <w:left w:val="single" w:sz="4" w:space="0" w:color="auto"/>
              <w:bottom w:val="single" w:sz="4" w:space="0" w:color="auto"/>
              <w:right w:val="single" w:sz="4" w:space="0" w:color="auto"/>
            </w:tcBorders>
            <w:shd w:val="clear" w:color="auto" w:fill="B9D36C"/>
            <w:vAlign w:val="center"/>
          </w:tcPr>
          <w:p w:rsidR="00C9796D" w:rsidRPr="00C9796D" w:rsidRDefault="00C9796D" w:rsidP="000F16E9">
            <w:pPr>
              <w:tabs>
                <w:tab w:val="left" w:pos="6125"/>
              </w:tabs>
              <w:spacing w:after="160" w:line="259" w:lineRule="auto"/>
              <w:rPr>
                <w:rFonts w:eastAsiaTheme="minorEastAsia"/>
                <w:b/>
                <w:lang w:eastAsia="de-DE"/>
              </w:rPr>
            </w:pPr>
            <w:r w:rsidRPr="00C9796D">
              <w:rPr>
                <w:rFonts w:eastAsiaTheme="minorEastAsia"/>
                <w:b/>
                <w:lang w:eastAsia="de-DE"/>
              </w:rPr>
              <w:t>Anlage 1 PflAPrV</w:t>
            </w:r>
          </w:p>
        </w:tc>
      </w:tr>
      <w:tr w:rsidR="00C9796D" w:rsidRPr="00C9796D" w:rsidTr="005B6DED">
        <w:tc>
          <w:tcPr>
            <w:tcW w:w="9071" w:type="dxa"/>
            <w:gridSpan w:val="3"/>
            <w:tcBorders>
              <w:top w:val="single" w:sz="4" w:space="0" w:color="auto"/>
              <w:bottom w:val="single" w:sz="4" w:space="0" w:color="auto"/>
            </w:tcBorders>
            <w:shd w:val="clear" w:color="auto" w:fill="B9D36C"/>
            <w:vAlign w:val="center"/>
          </w:tcPr>
          <w:p w:rsidR="00C9796D" w:rsidRPr="00C9796D" w:rsidRDefault="00C9796D" w:rsidP="000F16E9">
            <w:pPr>
              <w:spacing w:after="160" w:line="259" w:lineRule="auto"/>
              <w:rPr>
                <w:rFonts w:eastAsiaTheme="minorEastAsia"/>
                <w:b/>
                <w:lang w:eastAsia="de-DE"/>
              </w:rPr>
            </w:pPr>
            <w:r w:rsidRPr="00C9796D">
              <w:rPr>
                <w:rFonts w:eastAsiaTheme="minorEastAsia"/>
                <w:b/>
                <w:lang w:eastAsia="de-DE"/>
              </w:rPr>
              <w:t>CE 02 B Menschen in der Selbstversorgung unterstützen</w:t>
            </w:r>
          </w:p>
        </w:tc>
      </w:tr>
      <w:tr w:rsidR="00C9796D" w:rsidRPr="00C9796D" w:rsidTr="005B6DED">
        <w:tc>
          <w:tcPr>
            <w:tcW w:w="9071" w:type="dxa"/>
            <w:gridSpan w:val="3"/>
            <w:tcBorders>
              <w:top w:val="single" w:sz="4" w:space="0" w:color="auto"/>
              <w:bottom w:val="single" w:sz="4" w:space="0" w:color="auto"/>
            </w:tcBorders>
            <w:shd w:val="clear" w:color="auto" w:fill="B9D36C"/>
            <w:vAlign w:val="center"/>
          </w:tcPr>
          <w:p w:rsidR="00C9796D" w:rsidRPr="00C9796D" w:rsidRDefault="00C9796D" w:rsidP="000F16E9">
            <w:pPr>
              <w:spacing w:after="160" w:line="259" w:lineRule="auto"/>
              <w:rPr>
                <w:rFonts w:eastAsiaTheme="minorEastAsia"/>
                <w:b/>
                <w:lang w:eastAsia="de-DE"/>
              </w:rPr>
            </w:pPr>
            <w:r w:rsidRPr="00C9796D">
              <w:rPr>
                <w:rFonts w:eastAsiaTheme="minorEastAsia"/>
                <w:b/>
                <w:lang w:eastAsia="de-DE"/>
              </w:rPr>
              <w:t>LF 4 Wahrnehmung und Beobachtung</w:t>
            </w:r>
          </w:p>
        </w:tc>
      </w:tr>
      <w:tr w:rsidR="00C9796D" w:rsidRPr="00C9796D" w:rsidTr="005B6DED">
        <w:tc>
          <w:tcPr>
            <w:tcW w:w="9071" w:type="dxa"/>
            <w:gridSpan w:val="3"/>
            <w:tcBorders>
              <w:top w:val="single" w:sz="4" w:space="0" w:color="auto"/>
              <w:bottom w:val="single" w:sz="4" w:space="0" w:color="auto"/>
            </w:tcBorders>
            <w:shd w:val="clear" w:color="auto" w:fill="B9D36C"/>
            <w:vAlign w:val="center"/>
          </w:tcPr>
          <w:p w:rsidR="00C9796D" w:rsidRPr="00C9796D" w:rsidRDefault="00C9796D" w:rsidP="000F16E9">
            <w:pPr>
              <w:tabs>
                <w:tab w:val="left" w:pos="5983"/>
              </w:tabs>
              <w:spacing w:after="160" w:line="259" w:lineRule="auto"/>
              <w:rPr>
                <w:rFonts w:eastAsiaTheme="minorEastAsia"/>
                <w:b/>
                <w:lang w:eastAsia="de-DE"/>
              </w:rPr>
            </w:pPr>
            <w:r w:rsidRPr="00C9796D">
              <w:rPr>
                <w:rFonts w:eastAsiaTheme="minorEastAsia"/>
                <w:b/>
                <w:lang w:eastAsia="de-DE"/>
              </w:rPr>
              <w:t>1. Ausbildungsdrittel</w:t>
            </w:r>
            <w:r w:rsidRPr="00C9796D">
              <w:rPr>
                <w:rFonts w:eastAsiaTheme="minorEastAsia"/>
                <w:b/>
                <w:lang w:eastAsia="de-DE"/>
              </w:rPr>
              <w:tab/>
              <w:t>Zeitumfang: 40 Stunden</w:t>
            </w:r>
          </w:p>
          <w:p w:rsidR="00C9796D" w:rsidRPr="00C9796D" w:rsidRDefault="00C9796D" w:rsidP="000F16E9">
            <w:pPr>
              <w:tabs>
                <w:tab w:val="left" w:pos="5983"/>
              </w:tabs>
              <w:spacing w:after="160" w:line="259" w:lineRule="auto"/>
              <w:jc w:val="right"/>
              <w:rPr>
                <w:rFonts w:eastAsiaTheme="minorEastAsia"/>
                <w:lang w:eastAsia="de-DE"/>
              </w:rPr>
            </w:pPr>
            <w:r w:rsidRPr="00C9796D">
              <w:rPr>
                <w:rFonts w:eastAsiaTheme="minorEastAsia"/>
                <w:lang w:eastAsia="de-DE"/>
              </w:rPr>
              <w:t>Theoretischer Unterricht: 30 Stunden</w:t>
            </w:r>
          </w:p>
          <w:p w:rsidR="00C9796D" w:rsidRPr="00C9796D" w:rsidRDefault="00C9796D" w:rsidP="000F16E9">
            <w:pPr>
              <w:tabs>
                <w:tab w:val="left" w:pos="5983"/>
              </w:tabs>
              <w:spacing w:after="160" w:line="259" w:lineRule="auto"/>
              <w:jc w:val="right"/>
              <w:rPr>
                <w:rFonts w:eastAsiaTheme="minorEastAsia"/>
                <w:b/>
                <w:lang w:eastAsia="de-DE"/>
              </w:rPr>
            </w:pPr>
            <w:r w:rsidRPr="00C9796D">
              <w:rPr>
                <w:rFonts w:eastAsiaTheme="minorEastAsia"/>
                <w:lang w:eastAsia="de-DE"/>
              </w:rPr>
              <w:t>Praktischer Unterricht: 10 Stunden</w:t>
            </w:r>
          </w:p>
        </w:tc>
      </w:tr>
      <w:tr w:rsidR="00C9796D" w:rsidRPr="00C9796D" w:rsidTr="005B6DED">
        <w:tc>
          <w:tcPr>
            <w:tcW w:w="9071" w:type="dxa"/>
            <w:gridSpan w:val="3"/>
            <w:tcBorders>
              <w:top w:val="single" w:sz="4" w:space="0" w:color="auto"/>
              <w:bottom w:val="single" w:sz="4" w:space="0" w:color="auto"/>
            </w:tcBorders>
            <w:shd w:val="clear" w:color="auto" w:fill="B9D36C"/>
            <w:vAlign w:val="center"/>
          </w:tcPr>
          <w:p w:rsidR="00C9796D" w:rsidRPr="00C9796D" w:rsidRDefault="00C9796D" w:rsidP="000F16E9">
            <w:pPr>
              <w:tabs>
                <w:tab w:val="left" w:pos="6125"/>
              </w:tabs>
              <w:spacing w:after="160" w:line="259" w:lineRule="auto"/>
              <w:ind w:left="431" w:hanging="357"/>
              <w:rPr>
                <w:rFonts w:eastAsia="Calibri"/>
                <w:b/>
              </w:rPr>
            </w:pPr>
            <w:r w:rsidRPr="00C9796D">
              <w:rPr>
                <w:rFonts w:eastAsia="Calibri"/>
                <w:b/>
              </w:rPr>
              <w:t>Zu bearbeitende Lernsituation</w:t>
            </w:r>
          </w:p>
          <w:p w:rsidR="00C9796D" w:rsidRPr="00C9796D" w:rsidRDefault="00C9796D" w:rsidP="000F16E9">
            <w:pPr>
              <w:numPr>
                <w:ilvl w:val="0"/>
                <w:numId w:val="20"/>
              </w:numPr>
              <w:tabs>
                <w:tab w:val="left" w:pos="6125"/>
              </w:tabs>
              <w:spacing w:after="160" w:line="259" w:lineRule="auto"/>
              <w:rPr>
                <w:rFonts w:eastAsia="Calibri"/>
              </w:rPr>
            </w:pPr>
            <w:r w:rsidRPr="00C9796D">
              <w:rPr>
                <w:rFonts w:eastAsia="Times New Roman"/>
              </w:rPr>
              <w:t>Herr Marks</w:t>
            </w:r>
            <w:r w:rsidRPr="00C9796D">
              <w:rPr>
                <w:rFonts w:eastAsia="Calibri"/>
              </w:rPr>
              <w:t xml:space="preserve"> (Das Beispiel für die Umsetzung der LS befindet sich in </w:t>
            </w:r>
            <w:hyperlink w:anchor="_6.5_Beispiel_für" w:history="1">
              <w:r w:rsidRPr="00C9796D">
                <w:rPr>
                  <w:rFonts w:eastAsia="Calibri"/>
                  <w:color w:val="0069B4"/>
                  <w:u w:val="single"/>
                </w:rPr>
                <w:t>Kapitel 6.5</w:t>
              </w:r>
            </w:hyperlink>
            <w:r w:rsidRPr="00C9796D">
              <w:rPr>
                <w:rFonts w:eastAsia="Calibri"/>
              </w:rPr>
              <w:t>)</w:t>
            </w:r>
          </w:p>
        </w:tc>
      </w:tr>
      <w:tr w:rsidR="00C9796D" w:rsidRPr="00C9796D" w:rsidTr="000F16E9">
        <w:trPr>
          <w:trHeight w:val="8512"/>
        </w:trPr>
        <w:tc>
          <w:tcPr>
            <w:tcW w:w="9071" w:type="dxa"/>
            <w:gridSpan w:val="3"/>
            <w:vAlign w:val="center"/>
          </w:tcPr>
          <w:p w:rsidR="00C9796D" w:rsidRPr="00C9796D" w:rsidRDefault="00C9796D" w:rsidP="000F16E9">
            <w:pPr>
              <w:spacing w:after="160" w:line="259" w:lineRule="auto"/>
              <w:rPr>
                <w:rFonts w:eastAsiaTheme="minorEastAsia"/>
                <w:b/>
                <w:u w:val="single"/>
                <w:lang w:eastAsia="de-DE"/>
              </w:rPr>
            </w:pPr>
            <w:r w:rsidRPr="00C9796D">
              <w:rPr>
                <w:rFonts w:eastAsiaTheme="minorEastAsia"/>
                <w:b/>
                <w:u w:val="single"/>
                <w:lang w:eastAsia="de-DE"/>
              </w:rPr>
              <w:t xml:space="preserve">Outcome </w:t>
            </w:r>
          </w:p>
          <w:p w:rsidR="00C9796D" w:rsidRPr="00C9796D" w:rsidRDefault="00C9796D" w:rsidP="000F16E9">
            <w:pPr>
              <w:spacing w:after="160" w:line="259" w:lineRule="auto"/>
              <w:rPr>
                <w:rFonts w:eastAsiaTheme="minorEastAsia"/>
                <w:b/>
                <w:lang w:eastAsia="de-DE"/>
              </w:rPr>
            </w:pPr>
            <w:r w:rsidRPr="00C9796D">
              <w:rPr>
                <w:rFonts w:eastAsiaTheme="minorEastAsia"/>
                <w:b/>
                <w:lang w:eastAsia="de-DE"/>
              </w:rPr>
              <w:t xml:space="preserve">Kompetenzen – die Auszubildenden… </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 xml:space="preserve">Verfügen über ein grundlegendes Verständnis von zentralen Theorien und Modellen zum Pflegeprozess und nutzen diese zur Planung von Pflegeprozessen bei Menschen aller Altersstufen (I.1.a). </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 xml:space="preserve">Beteiligen sich an der Organisation und Durchführung des Pflegeprozesses (I.1.b). </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 xml:space="preserve">Nutzen ausgewählte Assessmentverfahren und beschreiben den Pflegebedarf unter Verwendung von pflegediagnostischen Begriffen (I.1.c). </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 xml:space="preserve">Schätzen häufig vorkommende Pflegeanlässe und Pflegebedarf in unterschiedlichen Lebens- und Entwicklungsphasen in akuten und dauerhaften Pflegesituationen ein (I.1.d). </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 xml:space="preserve">Erheben pflegebezogene Daten von Menschen aller Altersstufen mit gesundheitlichen Problemlagen sowie zugehörige Ressourcen und Widerstandsfaktoren (I.2.a). </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 xml:space="preserve">Interpretieren und erklären die vorliegenden Daten bei Menschen mit überschaubaren Pflegebedarfen und gesundheitsbedingten Einschränkungen anhand von grundlegenden pflege- und bezugswissenschaftlichen Erkenntnissen (I.2.b). </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Verfügen über ein grundlegendes Verständnis zu physischen, psychischen und psychosomatischen Zusammenhängen, die pflegerisches Handeln begründen (I.2.f).</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Wahren das Selbstbestimmungsrecht des zu pflegenden Menschen, insbesondere auch, wenn dieser in seiner Selbstbestimmungsfähigkeit eingeschränkt ist (I.6.a).</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Erkennen eigene Emotionen sowie Deutungs- und Handlungsmuster in der Interaktion (II.1.a).</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Respektieren Menschenrechte, Ethikkodizes sowie religiöse, kulturelle, ethnische und andere Gewohnheiten von zu pflegenden Menschen in unterschiedlichen Lebensphasen (II.3.a).</w:t>
            </w:r>
          </w:p>
          <w:p w:rsidR="00C9796D" w:rsidRPr="00C9796D" w:rsidRDefault="00C9796D" w:rsidP="000F16E9">
            <w:pPr>
              <w:numPr>
                <w:ilvl w:val="0"/>
                <w:numId w:val="20"/>
              </w:numPr>
              <w:spacing w:after="160" w:line="259" w:lineRule="auto"/>
              <w:contextualSpacing/>
              <w:rPr>
                <w:rFonts w:eastAsia="Calibri"/>
              </w:rPr>
            </w:pPr>
            <w:r w:rsidRPr="00C9796D">
              <w:rPr>
                <w:rFonts w:eastAsia="Calibri"/>
              </w:rPr>
              <w:t xml:space="preserve">Nehmen drohende Über- oder Unterforderungen frühzeitig wahr, erkennen die notwendigen Veränderungen am Arbeitsplatz und/oder des eigenen Kompetenzprofils und leiten daraus entsprechende Handlungsinitiativen ab (V.2.b). </w:t>
            </w:r>
          </w:p>
        </w:tc>
      </w:tr>
    </w:tbl>
    <w:p w:rsidR="00C9796D" w:rsidRDefault="00C9796D">
      <w:r>
        <w:br w:type="page"/>
      </w:r>
    </w:p>
    <w:tbl>
      <w:tblPr>
        <w:tblStyle w:val="Tabellenraster"/>
        <w:tblW w:w="9071" w:type="dxa"/>
        <w:tblInd w:w="15" w:type="dxa"/>
        <w:tblLook w:val="04A0" w:firstRow="1" w:lastRow="0" w:firstColumn="1" w:lastColumn="0" w:noHBand="0" w:noVBand="1"/>
      </w:tblPr>
      <w:tblGrid>
        <w:gridCol w:w="9071"/>
      </w:tblGrid>
      <w:tr w:rsidR="00C9796D" w:rsidRPr="00C9796D" w:rsidTr="000F16E9">
        <w:trPr>
          <w:trHeight w:val="13598"/>
        </w:trPr>
        <w:tc>
          <w:tcPr>
            <w:tcW w:w="9071" w:type="dxa"/>
            <w:vAlign w:val="center"/>
          </w:tcPr>
          <w:p w:rsidR="00C9796D" w:rsidRPr="00C9796D" w:rsidRDefault="00C9796D" w:rsidP="000F16E9">
            <w:pPr>
              <w:spacing w:after="160" w:line="259" w:lineRule="auto"/>
              <w:ind w:left="30" w:hanging="30"/>
              <w:rPr>
                <w:rFonts w:eastAsiaTheme="minorEastAsia"/>
                <w:b/>
                <w:u w:val="single"/>
                <w:lang w:eastAsia="de-DE"/>
              </w:rPr>
            </w:pPr>
            <w:r w:rsidRPr="00C9796D">
              <w:rPr>
                <w:rFonts w:eastAsiaTheme="minorEastAsia"/>
                <w:b/>
                <w:u w:val="single"/>
                <w:lang w:eastAsia="de-DE"/>
              </w:rPr>
              <w:lastRenderedPageBreak/>
              <w:t xml:space="preserve">Inhaltliche Ausrichtung </w:t>
            </w:r>
          </w:p>
          <w:p w:rsidR="00C9796D" w:rsidRPr="00C9796D" w:rsidRDefault="00C9796D" w:rsidP="000F16E9">
            <w:pPr>
              <w:spacing w:after="160" w:line="259" w:lineRule="auto"/>
              <w:rPr>
                <w:rFonts w:eastAsia="Calibri"/>
                <w:b/>
              </w:rPr>
            </w:pPr>
            <w:r w:rsidRPr="00C9796D">
              <w:rPr>
                <w:rFonts w:eastAsia="Calibri"/>
                <w:b/>
              </w:rPr>
              <w:t xml:space="preserve">Handlungsanlässe </w:t>
            </w:r>
          </w:p>
          <w:p w:rsidR="00C9796D" w:rsidRPr="00C9796D" w:rsidRDefault="00C9796D" w:rsidP="000F16E9">
            <w:pPr>
              <w:numPr>
                <w:ilvl w:val="0"/>
                <w:numId w:val="21"/>
              </w:numPr>
              <w:spacing w:after="160" w:line="259" w:lineRule="auto"/>
              <w:contextualSpacing/>
              <w:rPr>
                <w:rFonts w:eastAsia="Calibri"/>
              </w:rPr>
            </w:pPr>
            <w:r w:rsidRPr="00C9796D">
              <w:rPr>
                <w:rFonts w:eastAsia="Calibri"/>
              </w:rPr>
              <w:t xml:space="preserve">Pflegephänomene, z. B. Hilflosigkeit, Abhängigkeit, Fremdheit, Scham, Bedürfnis nach Zuwendung, Orientierung und Berührung. </w:t>
            </w:r>
          </w:p>
          <w:p w:rsidR="00C9796D" w:rsidRPr="00C9796D" w:rsidRDefault="00C9796D" w:rsidP="000F16E9">
            <w:pPr>
              <w:numPr>
                <w:ilvl w:val="0"/>
                <w:numId w:val="21"/>
              </w:numPr>
              <w:spacing w:after="160" w:line="259" w:lineRule="auto"/>
              <w:contextualSpacing/>
              <w:rPr>
                <w:rFonts w:eastAsia="Calibri"/>
              </w:rPr>
            </w:pPr>
            <w:r w:rsidRPr="00C9796D">
              <w:rPr>
                <w:rFonts w:eastAsia="Calibri"/>
              </w:rPr>
              <w:t xml:space="preserve">Gesundheits- oder entwicklungsbedingte Beeinträchtigungen in der Selbstversorgung, (Körperpflege/Kleiden, Nahrungs- und Flüssigkeitsaufnahme, Ausscheidung). </w:t>
            </w:r>
          </w:p>
          <w:p w:rsidR="00C9796D" w:rsidRPr="00C9796D" w:rsidRDefault="00C9796D" w:rsidP="000F16E9">
            <w:pPr>
              <w:numPr>
                <w:ilvl w:val="0"/>
                <w:numId w:val="21"/>
              </w:numPr>
              <w:spacing w:after="160" w:line="259" w:lineRule="auto"/>
              <w:contextualSpacing/>
              <w:rPr>
                <w:rFonts w:eastAsia="Calibri"/>
              </w:rPr>
            </w:pPr>
            <w:r w:rsidRPr="00C9796D">
              <w:rPr>
                <w:rFonts w:eastAsia="Calibri"/>
              </w:rPr>
              <w:t xml:space="preserve">Pflegebedingte Notwendigkeit der Beobachtung des Gesundheitszustandes (inklusive der Vitalwerte). </w:t>
            </w:r>
          </w:p>
          <w:p w:rsidR="00C9796D" w:rsidRPr="00C9796D" w:rsidRDefault="00C9796D" w:rsidP="000F16E9">
            <w:pPr>
              <w:numPr>
                <w:ilvl w:val="0"/>
                <w:numId w:val="21"/>
              </w:numPr>
              <w:spacing w:after="160" w:line="259" w:lineRule="auto"/>
              <w:contextualSpacing/>
              <w:rPr>
                <w:rFonts w:eastAsia="Calibri"/>
              </w:rPr>
            </w:pPr>
            <w:r w:rsidRPr="00C9796D">
              <w:rPr>
                <w:rFonts w:eastAsia="Calibri"/>
              </w:rPr>
              <w:t xml:space="preserve">(Risiko von) Veränderungen des Hautzustands und Erfordernis entsprechend ausgewählter Prophylaxen, z. B. </w:t>
            </w:r>
            <w:proofErr w:type="spellStart"/>
            <w:r w:rsidRPr="00C9796D">
              <w:rPr>
                <w:rFonts w:eastAsia="Calibri"/>
              </w:rPr>
              <w:t>Intertrigoprophylaxe</w:t>
            </w:r>
            <w:proofErr w:type="spellEnd"/>
            <w:r w:rsidRPr="00C9796D">
              <w:rPr>
                <w:rFonts w:eastAsia="Calibri"/>
              </w:rPr>
              <w:t xml:space="preserve">, Dekubitusprophylaxe. </w:t>
            </w:r>
          </w:p>
          <w:p w:rsidR="00C9796D" w:rsidRPr="00C9796D" w:rsidRDefault="00C9796D" w:rsidP="000F16E9">
            <w:pPr>
              <w:numPr>
                <w:ilvl w:val="0"/>
                <w:numId w:val="21"/>
              </w:numPr>
              <w:spacing w:after="160" w:line="259" w:lineRule="auto"/>
              <w:contextualSpacing/>
              <w:rPr>
                <w:rFonts w:eastAsia="Calibri"/>
              </w:rPr>
            </w:pPr>
            <w:r w:rsidRPr="00C9796D">
              <w:rPr>
                <w:rFonts w:eastAsia="Calibri"/>
              </w:rPr>
              <w:t xml:space="preserve">Mangelernährung, </w:t>
            </w:r>
          </w:p>
          <w:p w:rsidR="00C9796D" w:rsidRPr="00C9796D" w:rsidRDefault="00C9796D" w:rsidP="000F16E9">
            <w:pPr>
              <w:numPr>
                <w:ilvl w:val="0"/>
                <w:numId w:val="21"/>
              </w:numPr>
              <w:spacing w:after="160" w:line="259" w:lineRule="auto"/>
              <w:contextualSpacing/>
              <w:rPr>
                <w:rFonts w:eastAsia="Calibri"/>
              </w:rPr>
            </w:pPr>
            <w:r w:rsidRPr="00C9796D">
              <w:rPr>
                <w:rFonts w:eastAsia="Calibri"/>
              </w:rPr>
              <w:t xml:space="preserve">Flüssigkeitsdefizit, </w:t>
            </w:r>
          </w:p>
          <w:p w:rsidR="00C9796D" w:rsidRPr="00C9796D" w:rsidRDefault="00C9796D" w:rsidP="000F16E9">
            <w:pPr>
              <w:numPr>
                <w:ilvl w:val="0"/>
                <w:numId w:val="21"/>
              </w:numPr>
              <w:spacing w:after="160" w:line="259" w:lineRule="auto"/>
              <w:contextualSpacing/>
              <w:rPr>
                <w:rFonts w:eastAsia="Calibri"/>
              </w:rPr>
            </w:pPr>
            <w:r w:rsidRPr="00C9796D">
              <w:rPr>
                <w:rFonts w:eastAsia="Calibri"/>
              </w:rPr>
              <w:t xml:space="preserve">Beeinträchtigte Harnausscheidung, </w:t>
            </w:r>
          </w:p>
          <w:p w:rsidR="00C9796D" w:rsidRPr="00C9796D" w:rsidRDefault="00C9796D" w:rsidP="000F16E9">
            <w:pPr>
              <w:numPr>
                <w:ilvl w:val="0"/>
                <w:numId w:val="21"/>
              </w:numPr>
              <w:spacing w:after="160" w:line="259" w:lineRule="auto"/>
              <w:contextualSpacing/>
              <w:rPr>
                <w:rFonts w:eastAsia="Calibri"/>
              </w:rPr>
            </w:pPr>
            <w:r w:rsidRPr="00C9796D">
              <w:rPr>
                <w:rFonts w:eastAsia="Calibri"/>
              </w:rPr>
              <w:t xml:space="preserve">Beeinträchtigte Stuhlausscheidung, </w:t>
            </w:r>
          </w:p>
          <w:p w:rsidR="00C9796D" w:rsidRPr="00C9796D" w:rsidRDefault="00C9796D" w:rsidP="000F16E9">
            <w:pPr>
              <w:numPr>
                <w:ilvl w:val="0"/>
                <w:numId w:val="21"/>
              </w:numPr>
              <w:spacing w:after="160" w:line="259" w:lineRule="auto"/>
              <w:rPr>
                <w:rFonts w:eastAsia="Calibri"/>
              </w:rPr>
            </w:pPr>
            <w:r w:rsidRPr="00C9796D">
              <w:rPr>
                <w:rFonts w:eastAsia="Calibri"/>
              </w:rPr>
              <w:t xml:space="preserve">Schlafstörung/Unruhe (kann in anderen Lernfeldern in zeitlicher Nähe zu den Nachtdiensten nochmals aufgegriffen werden). </w:t>
            </w:r>
          </w:p>
          <w:p w:rsidR="00C9796D" w:rsidRPr="00C9796D" w:rsidRDefault="00C9796D" w:rsidP="000F16E9">
            <w:pPr>
              <w:spacing w:after="160" w:line="259" w:lineRule="auto"/>
              <w:rPr>
                <w:rFonts w:eastAsiaTheme="minorEastAsia"/>
                <w:b/>
                <w:lang w:eastAsia="de-DE"/>
              </w:rPr>
            </w:pPr>
            <w:r w:rsidRPr="00C9796D">
              <w:rPr>
                <w:rFonts w:eastAsiaTheme="minorEastAsia"/>
                <w:b/>
                <w:lang w:eastAsia="de-DE"/>
              </w:rPr>
              <w:t xml:space="preserve">Kontextbedingungen </w:t>
            </w:r>
          </w:p>
          <w:p w:rsidR="00C9796D" w:rsidRPr="00C9796D" w:rsidRDefault="00C9796D" w:rsidP="000F16E9">
            <w:pPr>
              <w:numPr>
                <w:ilvl w:val="0"/>
                <w:numId w:val="22"/>
              </w:numPr>
              <w:spacing w:after="160" w:line="259" w:lineRule="auto"/>
              <w:contextualSpacing/>
              <w:rPr>
                <w:rFonts w:eastAsia="Calibri"/>
              </w:rPr>
            </w:pPr>
            <w:r w:rsidRPr="00C9796D">
              <w:rPr>
                <w:rFonts w:eastAsia="Calibri"/>
              </w:rPr>
              <w:t xml:space="preserve">Verschiedene Versorgungsbereiche der Pflege insbesondere solche, in denen die Lernenden im Orientierungseinsatz eingesetzt werden. </w:t>
            </w:r>
          </w:p>
          <w:p w:rsidR="00C9796D" w:rsidRPr="00C9796D" w:rsidRDefault="00C9796D" w:rsidP="000F16E9">
            <w:pPr>
              <w:numPr>
                <w:ilvl w:val="0"/>
                <w:numId w:val="22"/>
              </w:numPr>
              <w:spacing w:after="160" w:line="259" w:lineRule="auto"/>
              <w:rPr>
                <w:rFonts w:eastAsia="Calibri"/>
              </w:rPr>
            </w:pPr>
            <w:r w:rsidRPr="00C9796D">
              <w:rPr>
                <w:rFonts w:eastAsia="Calibri"/>
              </w:rPr>
              <w:t xml:space="preserve">Angehörige und Bezugspersonen, die bei der Pflege anwesend sein können. </w:t>
            </w:r>
          </w:p>
          <w:p w:rsidR="00C9796D" w:rsidRPr="00C9796D" w:rsidRDefault="00C9796D" w:rsidP="000F16E9">
            <w:pPr>
              <w:spacing w:after="160" w:line="259" w:lineRule="auto"/>
              <w:rPr>
                <w:rFonts w:eastAsiaTheme="minorEastAsia"/>
                <w:b/>
                <w:lang w:eastAsia="de-DE"/>
              </w:rPr>
            </w:pPr>
            <w:r w:rsidRPr="00C9796D">
              <w:rPr>
                <w:rFonts w:eastAsiaTheme="minorEastAsia"/>
                <w:b/>
                <w:lang w:eastAsia="de-DE"/>
              </w:rPr>
              <w:t xml:space="preserve">Ausgewählte Akteure </w:t>
            </w:r>
          </w:p>
          <w:p w:rsidR="00C9796D" w:rsidRPr="00C9796D" w:rsidRDefault="00C9796D" w:rsidP="000F16E9">
            <w:pPr>
              <w:numPr>
                <w:ilvl w:val="0"/>
                <w:numId w:val="23"/>
              </w:numPr>
              <w:spacing w:after="160" w:line="259" w:lineRule="auto"/>
              <w:contextualSpacing/>
              <w:rPr>
                <w:rFonts w:eastAsia="Calibri"/>
              </w:rPr>
            </w:pPr>
            <w:r w:rsidRPr="00C9796D">
              <w:rPr>
                <w:rFonts w:eastAsia="Calibri"/>
              </w:rPr>
              <w:t xml:space="preserve">Menschen aller Altersstufen mit unterschiedlichen kulturellen und religiösen Hintergründen, mit ihren jeweiligen individuellen Bedürfnissen in häufig vorkommenden Pflegesituationen insbesondere die in den Orientierungseinsätzen hauptsächlich vertretenen Zielgruppen. </w:t>
            </w:r>
          </w:p>
          <w:p w:rsidR="00C9796D" w:rsidRPr="00C9796D" w:rsidRDefault="00C9796D" w:rsidP="000F16E9">
            <w:pPr>
              <w:numPr>
                <w:ilvl w:val="0"/>
                <w:numId w:val="23"/>
              </w:numPr>
              <w:spacing w:after="160" w:line="259" w:lineRule="auto"/>
              <w:rPr>
                <w:rFonts w:eastAsia="Calibri"/>
              </w:rPr>
            </w:pPr>
            <w:r w:rsidRPr="00C9796D">
              <w:rPr>
                <w:rFonts w:eastAsia="Calibri"/>
              </w:rPr>
              <w:t xml:space="preserve">Auszubildende mit keiner oder geringer Pflegeerfahrung. </w:t>
            </w:r>
          </w:p>
          <w:p w:rsidR="00C9796D" w:rsidRPr="00C9796D" w:rsidRDefault="00204FD8" w:rsidP="000F16E9">
            <w:pPr>
              <w:tabs>
                <w:tab w:val="left" w:pos="6125"/>
              </w:tabs>
              <w:spacing w:after="160" w:line="259" w:lineRule="auto"/>
              <w:rPr>
                <w:rFonts w:eastAsiaTheme="minorEastAsia"/>
                <w:b/>
                <w:lang w:eastAsia="de-DE"/>
              </w:rPr>
            </w:pPr>
            <w:r>
              <w:rPr>
                <w:rFonts w:eastAsiaTheme="minorEastAsia"/>
                <w:b/>
                <w:lang w:eastAsia="de-DE"/>
              </w:rPr>
              <w:t>Erleben/</w:t>
            </w:r>
            <w:bookmarkStart w:id="0" w:name="_GoBack"/>
            <w:bookmarkEnd w:id="0"/>
            <w:r w:rsidR="00C9796D" w:rsidRPr="00C9796D">
              <w:rPr>
                <w:rFonts w:eastAsiaTheme="minorEastAsia"/>
                <w:b/>
                <w:lang w:eastAsia="de-DE"/>
              </w:rPr>
              <w:t xml:space="preserve">Deuten/Verarbeiten </w:t>
            </w:r>
          </w:p>
          <w:p w:rsidR="00C9796D" w:rsidRPr="00C9796D" w:rsidRDefault="00C9796D" w:rsidP="000F16E9">
            <w:pPr>
              <w:spacing w:after="160" w:line="259" w:lineRule="auto"/>
              <w:rPr>
                <w:rFonts w:eastAsiaTheme="minorEastAsia"/>
                <w:i/>
                <w:lang w:eastAsia="de-DE"/>
              </w:rPr>
            </w:pPr>
            <w:r w:rsidRPr="00C9796D">
              <w:rPr>
                <w:rFonts w:eastAsiaTheme="minorEastAsia"/>
                <w:i/>
                <w:lang w:eastAsia="de-DE"/>
              </w:rPr>
              <w:t>Zu pflegende Menschen</w:t>
            </w:r>
          </w:p>
          <w:p w:rsidR="00C9796D" w:rsidRPr="00C9796D" w:rsidRDefault="00C9796D" w:rsidP="000F16E9">
            <w:pPr>
              <w:numPr>
                <w:ilvl w:val="0"/>
                <w:numId w:val="19"/>
              </w:numPr>
              <w:spacing w:after="160" w:line="259" w:lineRule="auto"/>
              <w:contextualSpacing/>
              <w:rPr>
                <w:rFonts w:eastAsia="Calibri"/>
              </w:rPr>
            </w:pPr>
            <w:r w:rsidRPr="00C9796D">
              <w:rPr>
                <w:rFonts w:eastAsia="Calibri"/>
              </w:rPr>
              <w:t xml:space="preserve">Erleben von Hilfe- und Unterstützungsbedarf und Umgang mit der Zuweisung von „Pflegebedürftigkeit“. </w:t>
            </w:r>
          </w:p>
          <w:p w:rsidR="00C9796D" w:rsidRPr="00C9796D" w:rsidRDefault="00C9796D" w:rsidP="000F16E9">
            <w:pPr>
              <w:numPr>
                <w:ilvl w:val="0"/>
                <w:numId w:val="19"/>
              </w:numPr>
              <w:spacing w:after="160" w:line="259" w:lineRule="auto"/>
              <w:contextualSpacing/>
              <w:rPr>
                <w:rFonts w:eastAsia="Calibri"/>
              </w:rPr>
            </w:pPr>
            <w:r w:rsidRPr="00C9796D">
              <w:rPr>
                <w:rFonts w:eastAsia="Calibri"/>
              </w:rPr>
              <w:t>Abhängigkeit und b</w:t>
            </w:r>
            <w:r w:rsidR="00F539EA">
              <w:rPr>
                <w:rFonts w:eastAsia="Calibri"/>
              </w:rPr>
              <w:t>eeinträchtigte Selbstbestimmung.</w:t>
            </w:r>
            <w:r w:rsidRPr="00C9796D">
              <w:rPr>
                <w:rFonts w:eastAsia="Calibri"/>
              </w:rPr>
              <w:t xml:space="preserve"> </w:t>
            </w:r>
          </w:p>
          <w:p w:rsidR="00C9796D" w:rsidRPr="00C9796D" w:rsidRDefault="00C9796D" w:rsidP="000F16E9">
            <w:pPr>
              <w:numPr>
                <w:ilvl w:val="0"/>
                <w:numId w:val="19"/>
              </w:numPr>
              <w:spacing w:after="160" w:line="259" w:lineRule="auto"/>
              <w:contextualSpacing/>
              <w:rPr>
                <w:rFonts w:eastAsia="Calibri"/>
              </w:rPr>
            </w:pPr>
            <w:r w:rsidRPr="00C9796D">
              <w:rPr>
                <w:rFonts w:eastAsia="Calibri"/>
              </w:rPr>
              <w:t>Fremdheit, Sch</w:t>
            </w:r>
            <w:r w:rsidR="00F539EA">
              <w:rPr>
                <w:rFonts w:eastAsia="Calibri"/>
              </w:rPr>
              <w:t>am, Hilflosigkeit, Abhängigkeit.</w:t>
            </w:r>
            <w:r w:rsidRPr="00C9796D">
              <w:rPr>
                <w:rFonts w:eastAsia="Calibri"/>
              </w:rPr>
              <w:t xml:space="preserve"> </w:t>
            </w:r>
          </w:p>
          <w:p w:rsidR="00C9796D" w:rsidRPr="00C9796D" w:rsidRDefault="00C9796D" w:rsidP="000F16E9">
            <w:pPr>
              <w:numPr>
                <w:ilvl w:val="0"/>
                <w:numId w:val="19"/>
              </w:numPr>
              <w:spacing w:after="160" w:line="259" w:lineRule="auto"/>
              <w:rPr>
                <w:rFonts w:eastAsia="Calibri"/>
              </w:rPr>
            </w:pPr>
            <w:r w:rsidRPr="00C9796D">
              <w:rPr>
                <w:rFonts w:eastAsia="Calibri"/>
              </w:rPr>
              <w:t xml:space="preserve">Angst vor Nähe und Berührung. </w:t>
            </w:r>
          </w:p>
          <w:p w:rsidR="00C9796D" w:rsidRPr="00C9796D" w:rsidRDefault="00C9796D" w:rsidP="000F16E9">
            <w:pPr>
              <w:spacing w:after="160" w:line="259" w:lineRule="auto"/>
              <w:rPr>
                <w:rFonts w:eastAsiaTheme="minorEastAsia"/>
                <w:i/>
                <w:lang w:eastAsia="de-DE"/>
              </w:rPr>
            </w:pPr>
            <w:r w:rsidRPr="00C9796D">
              <w:rPr>
                <w:rFonts w:eastAsiaTheme="minorEastAsia"/>
                <w:i/>
                <w:lang w:eastAsia="de-DE"/>
              </w:rPr>
              <w:t xml:space="preserve">Auszubildende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Wohlbefinden, Zuwendung, sich selbst im Leibkörper wahrnehmen und spüren.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Wirksamkeit von Pflege, Nähe, Bezogenheit.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Fremdheit, Unsicherh</w:t>
            </w:r>
            <w:r w:rsidR="007F152E">
              <w:rPr>
                <w:rFonts w:eastAsia="Calibri"/>
              </w:rPr>
              <w:t>eit, Sprachlosigkeit, Abneigung.</w:t>
            </w:r>
            <w:r w:rsidRPr="00C9796D">
              <w:rPr>
                <w:rFonts w:eastAsia="Calibri"/>
              </w:rPr>
              <w:t xml:space="preserve">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Den eigenen Körper in Interaktion mit anderen erfahren. </w:t>
            </w:r>
          </w:p>
          <w:p w:rsidR="00C9796D" w:rsidRPr="00C9796D" w:rsidRDefault="00C9796D" w:rsidP="000F16E9">
            <w:pPr>
              <w:numPr>
                <w:ilvl w:val="0"/>
                <w:numId w:val="24"/>
              </w:numPr>
              <w:spacing w:after="160" w:line="259" w:lineRule="auto"/>
              <w:contextualSpacing/>
              <w:rPr>
                <w:rFonts w:eastAsiaTheme="minorEastAsia"/>
                <w:b/>
                <w:u w:val="single"/>
                <w:lang w:eastAsia="de-DE"/>
              </w:rPr>
            </w:pPr>
            <w:r w:rsidRPr="00C9796D">
              <w:rPr>
                <w:rFonts w:eastAsia="Calibri"/>
              </w:rPr>
              <w:t xml:space="preserve">Widersprüchliche Emotionen und Bedürfnisse, z. B. im Umgang mit großer körperlicher Nähe in der pflegerischen Interaktion. </w:t>
            </w:r>
          </w:p>
        </w:tc>
      </w:tr>
    </w:tbl>
    <w:p w:rsidR="00C9796D" w:rsidRPr="00C9796D" w:rsidRDefault="00C9796D" w:rsidP="00C9796D">
      <w:r w:rsidRPr="00C9796D">
        <w:br w:type="page"/>
      </w:r>
    </w:p>
    <w:tbl>
      <w:tblPr>
        <w:tblStyle w:val="Tabellenraster"/>
        <w:tblW w:w="9071" w:type="dxa"/>
        <w:tblInd w:w="15" w:type="dxa"/>
        <w:tblLook w:val="04A0" w:firstRow="1" w:lastRow="0" w:firstColumn="1" w:lastColumn="0" w:noHBand="0" w:noVBand="1"/>
      </w:tblPr>
      <w:tblGrid>
        <w:gridCol w:w="9071"/>
      </w:tblGrid>
      <w:tr w:rsidR="00C9796D" w:rsidRPr="00C9796D" w:rsidTr="000F16E9">
        <w:trPr>
          <w:trHeight w:val="8921"/>
        </w:trPr>
        <w:tc>
          <w:tcPr>
            <w:tcW w:w="9071" w:type="dxa"/>
            <w:vAlign w:val="center"/>
          </w:tcPr>
          <w:p w:rsidR="00C9796D" w:rsidRPr="00C9796D" w:rsidRDefault="00C9796D" w:rsidP="000F16E9">
            <w:pPr>
              <w:spacing w:after="160" w:line="259" w:lineRule="auto"/>
              <w:rPr>
                <w:rFonts w:eastAsia="Calibri"/>
                <w:b/>
              </w:rPr>
            </w:pPr>
            <w:r w:rsidRPr="00C9796D">
              <w:rPr>
                <w:rFonts w:eastAsia="Calibri"/>
                <w:b/>
              </w:rPr>
              <w:lastRenderedPageBreak/>
              <w:t xml:space="preserve">Handlungsmuster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Selbstversorgungsdefizite, Ressourcen und Fähigkeiten der zu pflegenden Menschen mithilfe erster pflegerischer Modelle/Theorien beobachten und beschreiben.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Individuelle Bedürfnisse wahrnehmen und in der Unterstützung bei der Selbstversorgung berücksichtigen.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Veränderungen des Gesundheitszustandes (inkl. der Vitalwerte) anhand von grundlegendem Wissen aus der Pflege und den Bezugswissenschaften beobachten, beschreiben und sachgerecht dokumentieren.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Prophylaktische Maßnahmen bei gesundheits- und entwicklungsbedingten Einschränkungen der Mobilität in die Körperpflege integrieren.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Pflegebedürftigkeit beschreiben und einordnen.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Beruflich bedingte Intimitätsverletzungen respekt- und würdevoll gestalten und sich selbst reflektieren.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Hygienische Maßnahmen in der pflegerischen Unterstützung berücksichtigen</w:t>
            </w:r>
            <w:r w:rsidR="0027126D">
              <w:rPr>
                <w:rFonts w:eastAsia="Calibri"/>
              </w:rPr>
              <w:t xml:space="preserve">.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Kommunikation und Interaktion in körpernahen und intimen pflegerischen Handlungen einfühlsam gestalten.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Das eigene Handeln an ausgewählten Expertenstandards der Pflege orientieren</w:t>
            </w:r>
            <w:r w:rsidR="000F2AA9">
              <w:rPr>
                <w:rFonts w:eastAsia="Calibri"/>
              </w:rPr>
              <w:t>. E</w:t>
            </w:r>
            <w:r w:rsidRPr="00C9796D">
              <w:rPr>
                <w:rFonts w:eastAsia="Calibri"/>
              </w:rPr>
              <w:t xml:space="preserve">xemplarische vertiefte Auseinandersetzung mit ein bis zwei Standards, die sich auf die Unterstützung bei Einschränkungen in der Selbstversorgung beziehen (z. B. „Ernährungsmanagement zur Sicherung und Förderung der oralen Ernährung in der Pflege“, „Förderung der Harnkontinenz in der Pflege“).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Mit Pflegedokumentationssystemen (analog/digital) umgehen, diesen Informationen entnehmen und durchgeführte Pflege dokumentieren. </w:t>
            </w:r>
          </w:p>
          <w:p w:rsidR="00C9796D" w:rsidRPr="00C9796D" w:rsidRDefault="00C9796D" w:rsidP="000F16E9">
            <w:pPr>
              <w:numPr>
                <w:ilvl w:val="0"/>
                <w:numId w:val="24"/>
              </w:numPr>
              <w:spacing w:after="160" w:line="259" w:lineRule="auto"/>
              <w:contextualSpacing/>
              <w:rPr>
                <w:rFonts w:eastAsia="Calibri"/>
              </w:rPr>
            </w:pPr>
            <w:r w:rsidRPr="00C9796D">
              <w:rPr>
                <w:rFonts w:eastAsia="Calibri"/>
              </w:rPr>
              <w:t xml:space="preserve">Digitale Messinstrumente und technische Hilfsmittel fachgerecht anwenden. </w:t>
            </w:r>
          </w:p>
          <w:p w:rsidR="00C9796D" w:rsidRPr="00C9796D" w:rsidRDefault="00C9796D" w:rsidP="000F16E9">
            <w:pPr>
              <w:numPr>
                <w:ilvl w:val="0"/>
                <w:numId w:val="24"/>
              </w:numPr>
              <w:spacing w:after="160" w:line="259" w:lineRule="auto"/>
              <w:rPr>
                <w:rFonts w:eastAsia="Calibri"/>
              </w:rPr>
            </w:pPr>
            <w:r w:rsidRPr="00C9796D">
              <w:rPr>
                <w:rFonts w:eastAsia="Calibri"/>
              </w:rPr>
              <w:t xml:space="preserve">Struktur und Organisation des Einsatzbereichs kennenlernen und sich darin orientieren. </w:t>
            </w:r>
          </w:p>
          <w:p w:rsidR="00C9796D" w:rsidRPr="00C9796D" w:rsidRDefault="00C9796D" w:rsidP="000F16E9">
            <w:pPr>
              <w:tabs>
                <w:tab w:val="left" w:pos="6125"/>
              </w:tabs>
              <w:spacing w:after="160" w:line="259" w:lineRule="auto"/>
              <w:rPr>
                <w:rFonts w:eastAsiaTheme="minorEastAsia"/>
                <w:b/>
                <w:lang w:eastAsia="de-DE"/>
              </w:rPr>
            </w:pPr>
            <w:r w:rsidRPr="00C9796D">
              <w:rPr>
                <w:rFonts w:eastAsiaTheme="minorEastAsia"/>
                <w:b/>
                <w:lang w:eastAsia="de-DE"/>
              </w:rPr>
              <w:t xml:space="preserve">Anregungen für Lern- und Arbeitsaufgaben - z. B. </w:t>
            </w:r>
          </w:p>
          <w:p w:rsidR="00C9796D" w:rsidRPr="00C9796D" w:rsidRDefault="00C9796D" w:rsidP="000F16E9">
            <w:pPr>
              <w:numPr>
                <w:ilvl w:val="0"/>
                <w:numId w:val="25"/>
              </w:numPr>
              <w:spacing w:after="160" w:line="259" w:lineRule="auto"/>
              <w:contextualSpacing/>
              <w:rPr>
                <w:rFonts w:eastAsiaTheme="minorEastAsia"/>
                <w:b/>
                <w:u w:val="single"/>
                <w:lang w:eastAsia="de-DE"/>
              </w:rPr>
            </w:pPr>
            <w:r w:rsidRPr="00C9796D">
              <w:rPr>
                <w:rFonts w:eastAsia="Calibri"/>
              </w:rPr>
              <w:t xml:space="preserve">Beobachtungsaufgabe zum Thema Haut und zum Vorgehen bei der Hautpflege. </w:t>
            </w:r>
          </w:p>
        </w:tc>
      </w:tr>
    </w:tbl>
    <w:p w:rsidR="00C9796D" w:rsidRPr="00C9796D" w:rsidRDefault="00C9796D" w:rsidP="00C9796D">
      <w:pPr>
        <w:spacing w:before="240"/>
      </w:pPr>
    </w:p>
    <w:p w:rsidR="00BA3C86" w:rsidRPr="00C9796D" w:rsidRDefault="00BA3C86" w:rsidP="00C9796D"/>
    <w:sectPr w:rsidR="00BA3C86" w:rsidRPr="00C979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21C"/>
    <w:multiLevelType w:val="hybridMultilevel"/>
    <w:tmpl w:val="44921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E62E9A"/>
    <w:multiLevelType w:val="hybridMultilevel"/>
    <w:tmpl w:val="F8BCD1B8"/>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2" w15:restartNumberingAfterBreak="0">
    <w:nsid w:val="0B9057FD"/>
    <w:multiLevelType w:val="hybridMultilevel"/>
    <w:tmpl w:val="C80E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30116D"/>
    <w:multiLevelType w:val="hybridMultilevel"/>
    <w:tmpl w:val="9314D644"/>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4" w15:restartNumberingAfterBreak="0">
    <w:nsid w:val="110060BE"/>
    <w:multiLevelType w:val="hybridMultilevel"/>
    <w:tmpl w:val="698E0E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650E70"/>
    <w:multiLevelType w:val="hybridMultilevel"/>
    <w:tmpl w:val="387419BE"/>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6" w15:restartNumberingAfterBreak="0">
    <w:nsid w:val="17BF3264"/>
    <w:multiLevelType w:val="hybridMultilevel"/>
    <w:tmpl w:val="3320A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32093F"/>
    <w:multiLevelType w:val="hybridMultilevel"/>
    <w:tmpl w:val="F3A80A8A"/>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8" w15:restartNumberingAfterBreak="0">
    <w:nsid w:val="24ED4A4A"/>
    <w:multiLevelType w:val="hybridMultilevel"/>
    <w:tmpl w:val="86F27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5F6C6C"/>
    <w:multiLevelType w:val="hybridMultilevel"/>
    <w:tmpl w:val="5A3AF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F11664"/>
    <w:multiLevelType w:val="hybridMultilevel"/>
    <w:tmpl w:val="1EF02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D00DC6"/>
    <w:multiLevelType w:val="hybridMultilevel"/>
    <w:tmpl w:val="1C344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B142FF"/>
    <w:multiLevelType w:val="hybridMultilevel"/>
    <w:tmpl w:val="9A506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6B3913"/>
    <w:multiLevelType w:val="hybridMultilevel"/>
    <w:tmpl w:val="B71C52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2B3421D"/>
    <w:multiLevelType w:val="hybridMultilevel"/>
    <w:tmpl w:val="49C81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0E0504"/>
    <w:multiLevelType w:val="hybridMultilevel"/>
    <w:tmpl w:val="338CF208"/>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16" w15:restartNumberingAfterBreak="0">
    <w:nsid w:val="42B42F48"/>
    <w:multiLevelType w:val="hybridMultilevel"/>
    <w:tmpl w:val="2D429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2242F6"/>
    <w:multiLevelType w:val="hybridMultilevel"/>
    <w:tmpl w:val="51F82DA2"/>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18" w15:restartNumberingAfterBreak="0">
    <w:nsid w:val="52A71A5B"/>
    <w:multiLevelType w:val="hybridMultilevel"/>
    <w:tmpl w:val="B91E5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766BD9"/>
    <w:multiLevelType w:val="hybridMultilevel"/>
    <w:tmpl w:val="88EC38BE"/>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20" w15:restartNumberingAfterBreak="0">
    <w:nsid w:val="67126910"/>
    <w:multiLevelType w:val="hybridMultilevel"/>
    <w:tmpl w:val="7FE4E2CC"/>
    <w:lvl w:ilvl="0" w:tplc="04070001">
      <w:start w:val="1"/>
      <w:numFmt w:val="bullet"/>
      <w:lvlText w:val=""/>
      <w:lvlJc w:val="left"/>
      <w:pPr>
        <w:ind w:left="434" w:hanging="360"/>
      </w:pPr>
      <w:rPr>
        <w:rFonts w:ascii="Symbol" w:hAnsi="Symbol" w:hint="default"/>
      </w:rPr>
    </w:lvl>
    <w:lvl w:ilvl="1" w:tplc="04070019" w:tentative="1">
      <w:start w:val="1"/>
      <w:numFmt w:val="lowerLetter"/>
      <w:lvlText w:val="%2."/>
      <w:lvlJc w:val="left"/>
      <w:pPr>
        <w:ind w:left="1154" w:hanging="360"/>
      </w:pPr>
    </w:lvl>
    <w:lvl w:ilvl="2" w:tplc="0407001B" w:tentative="1">
      <w:start w:val="1"/>
      <w:numFmt w:val="lowerRoman"/>
      <w:lvlText w:val="%3."/>
      <w:lvlJc w:val="right"/>
      <w:pPr>
        <w:ind w:left="1874" w:hanging="180"/>
      </w:pPr>
    </w:lvl>
    <w:lvl w:ilvl="3" w:tplc="0407000F" w:tentative="1">
      <w:start w:val="1"/>
      <w:numFmt w:val="decimal"/>
      <w:lvlText w:val="%4."/>
      <w:lvlJc w:val="left"/>
      <w:pPr>
        <w:ind w:left="2594" w:hanging="360"/>
      </w:pPr>
    </w:lvl>
    <w:lvl w:ilvl="4" w:tplc="04070019" w:tentative="1">
      <w:start w:val="1"/>
      <w:numFmt w:val="lowerLetter"/>
      <w:lvlText w:val="%5."/>
      <w:lvlJc w:val="left"/>
      <w:pPr>
        <w:ind w:left="3314" w:hanging="360"/>
      </w:pPr>
    </w:lvl>
    <w:lvl w:ilvl="5" w:tplc="0407001B" w:tentative="1">
      <w:start w:val="1"/>
      <w:numFmt w:val="lowerRoman"/>
      <w:lvlText w:val="%6."/>
      <w:lvlJc w:val="right"/>
      <w:pPr>
        <w:ind w:left="4034" w:hanging="180"/>
      </w:pPr>
    </w:lvl>
    <w:lvl w:ilvl="6" w:tplc="0407000F" w:tentative="1">
      <w:start w:val="1"/>
      <w:numFmt w:val="decimal"/>
      <w:lvlText w:val="%7."/>
      <w:lvlJc w:val="left"/>
      <w:pPr>
        <w:ind w:left="4754" w:hanging="360"/>
      </w:pPr>
    </w:lvl>
    <w:lvl w:ilvl="7" w:tplc="04070019" w:tentative="1">
      <w:start w:val="1"/>
      <w:numFmt w:val="lowerLetter"/>
      <w:lvlText w:val="%8."/>
      <w:lvlJc w:val="left"/>
      <w:pPr>
        <w:ind w:left="5474" w:hanging="360"/>
      </w:pPr>
    </w:lvl>
    <w:lvl w:ilvl="8" w:tplc="0407001B" w:tentative="1">
      <w:start w:val="1"/>
      <w:numFmt w:val="lowerRoman"/>
      <w:lvlText w:val="%9."/>
      <w:lvlJc w:val="right"/>
      <w:pPr>
        <w:ind w:left="6194" w:hanging="180"/>
      </w:pPr>
    </w:lvl>
  </w:abstractNum>
  <w:abstractNum w:abstractNumId="21" w15:restartNumberingAfterBreak="0">
    <w:nsid w:val="67416749"/>
    <w:multiLevelType w:val="hybridMultilevel"/>
    <w:tmpl w:val="3734167E"/>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22" w15:restartNumberingAfterBreak="0">
    <w:nsid w:val="7E850856"/>
    <w:multiLevelType w:val="hybridMultilevel"/>
    <w:tmpl w:val="ED928C9C"/>
    <w:lvl w:ilvl="0" w:tplc="04070001">
      <w:start w:val="1"/>
      <w:numFmt w:val="bullet"/>
      <w:lvlText w:val=""/>
      <w:lvlJc w:val="left"/>
      <w:pPr>
        <w:ind w:left="793"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23" w15:restartNumberingAfterBreak="0">
    <w:nsid w:val="7EAC6780"/>
    <w:multiLevelType w:val="hybridMultilevel"/>
    <w:tmpl w:val="17BCE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F41DE2"/>
    <w:multiLevelType w:val="hybridMultilevel"/>
    <w:tmpl w:val="08340670"/>
    <w:lvl w:ilvl="0" w:tplc="04070001">
      <w:start w:val="1"/>
      <w:numFmt w:val="bullet"/>
      <w:lvlText w:val=""/>
      <w:lvlJc w:val="left"/>
      <w:pPr>
        <w:ind w:left="434" w:hanging="360"/>
      </w:pPr>
      <w:rPr>
        <w:rFonts w:ascii="Symbol" w:hAnsi="Symbol" w:hint="default"/>
      </w:rPr>
    </w:lvl>
    <w:lvl w:ilvl="1" w:tplc="04070019" w:tentative="1">
      <w:start w:val="1"/>
      <w:numFmt w:val="lowerLetter"/>
      <w:lvlText w:val="%2."/>
      <w:lvlJc w:val="left"/>
      <w:pPr>
        <w:ind w:left="1154" w:hanging="360"/>
      </w:pPr>
    </w:lvl>
    <w:lvl w:ilvl="2" w:tplc="0407001B" w:tentative="1">
      <w:start w:val="1"/>
      <w:numFmt w:val="lowerRoman"/>
      <w:lvlText w:val="%3."/>
      <w:lvlJc w:val="right"/>
      <w:pPr>
        <w:ind w:left="1874" w:hanging="180"/>
      </w:pPr>
    </w:lvl>
    <w:lvl w:ilvl="3" w:tplc="0407000F" w:tentative="1">
      <w:start w:val="1"/>
      <w:numFmt w:val="decimal"/>
      <w:lvlText w:val="%4."/>
      <w:lvlJc w:val="left"/>
      <w:pPr>
        <w:ind w:left="2594" w:hanging="360"/>
      </w:pPr>
    </w:lvl>
    <w:lvl w:ilvl="4" w:tplc="04070019" w:tentative="1">
      <w:start w:val="1"/>
      <w:numFmt w:val="lowerLetter"/>
      <w:lvlText w:val="%5."/>
      <w:lvlJc w:val="left"/>
      <w:pPr>
        <w:ind w:left="3314" w:hanging="360"/>
      </w:pPr>
    </w:lvl>
    <w:lvl w:ilvl="5" w:tplc="0407001B" w:tentative="1">
      <w:start w:val="1"/>
      <w:numFmt w:val="lowerRoman"/>
      <w:lvlText w:val="%6."/>
      <w:lvlJc w:val="right"/>
      <w:pPr>
        <w:ind w:left="4034" w:hanging="180"/>
      </w:pPr>
    </w:lvl>
    <w:lvl w:ilvl="6" w:tplc="0407000F" w:tentative="1">
      <w:start w:val="1"/>
      <w:numFmt w:val="decimal"/>
      <w:lvlText w:val="%7."/>
      <w:lvlJc w:val="left"/>
      <w:pPr>
        <w:ind w:left="4754" w:hanging="360"/>
      </w:pPr>
    </w:lvl>
    <w:lvl w:ilvl="7" w:tplc="04070019" w:tentative="1">
      <w:start w:val="1"/>
      <w:numFmt w:val="lowerLetter"/>
      <w:lvlText w:val="%8."/>
      <w:lvlJc w:val="left"/>
      <w:pPr>
        <w:ind w:left="5474" w:hanging="360"/>
      </w:pPr>
    </w:lvl>
    <w:lvl w:ilvl="8" w:tplc="0407001B" w:tentative="1">
      <w:start w:val="1"/>
      <w:numFmt w:val="lowerRoman"/>
      <w:lvlText w:val="%9."/>
      <w:lvlJc w:val="right"/>
      <w:pPr>
        <w:ind w:left="6194" w:hanging="180"/>
      </w:pPr>
    </w:lvl>
  </w:abstractNum>
  <w:num w:numId="1">
    <w:abstractNumId w:val="24"/>
  </w:num>
  <w:num w:numId="2">
    <w:abstractNumId w:val="6"/>
  </w:num>
  <w:num w:numId="3">
    <w:abstractNumId w:val="12"/>
  </w:num>
  <w:num w:numId="4">
    <w:abstractNumId w:val="10"/>
  </w:num>
  <w:num w:numId="5">
    <w:abstractNumId w:val="8"/>
  </w:num>
  <w:num w:numId="6">
    <w:abstractNumId w:val="9"/>
  </w:num>
  <w:num w:numId="7">
    <w:abstractNumId w:val="16"/>
  </w:num>
  <w:num w:numId="8">
    <w:abstractNumId w:val="4"/>
  </w:num>
  <w:num w:numId="9">
    <w:abstractNumId w:val="18"/>
  </w:num>
  <w:num w:numId="10">
    <w:abstractNumId w:val="1"/>
  </w:num>
  <w:num w:numId="11">
    <w:abstractNumId w:val="17"/>
  </w:num>
  <w:num w:numId="12">
    <w:abstractNumId w:val="5"/>
  </w:num>
  <w:num w:numId="13">
    <w:abstractNumId w:val="15"/>
  </w:num>
  <w:num w:numId="14">
    <w:abstractNumId w:val="22"/>
  </w:num>
  <w:num w:numId="15">
    <w:abstractNumId w:val="3"/>
  </w:num>
  <w:num w:numId="16">
    <w:abstractNumId w:val="19"/>
  </w:num>
  <w:num w:numId="17">
    <w:abstractNumId w:val="7"/>
  </w:num>
  <w:num w:numId="18">
    <w:abstractNumId w:val="21"/>
  </w:num>
  <w:num w:numId="19">
    <w:abstractNumId w:val="13"/>
  </w:num>
  <w:num w:numId="20">
    <w:abstractNumId w:val="20"/>
  </w:num>
  <w:num w:numId="21">
    <w:abstractNumId w:val="2"/>
  </w:num>
  <w:num w:numId="22">
    <w:abstractNumId w:val="0"/>
  </w:num>
  <w:num w:numId="23">
    <w:abstractNumId w:val="11"/>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FA"/>
    <w:rsid w:val="000F16E9"/>
    <w:rsid w:val="000F2AA9"/>
    <w:rsid w:val="00204FD8"/>
    <w:rsid w:val="0027126D"/>
    <w:rsid w:val="00557560"/>
    <w:rsid w:val="00597C0D"/>
    <w:rsid w:val="006674FA"/>
    <w:rsid w:val="0077212A"/>
    <w:rsid w:val="007C500E"/>
    <w:rsid w:val="007F152E"/>
    <w:rsid w:val="00B05A28"/>
    <w:rsid w:val="00BA3C86"/>
    <w:rsid w:val="00C9796D"/>
    <w:rsid w:val="00E520B2"/>
    <w:rsid w:val="00F53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3CEF"/>
  <w15:chartTrackingRefBased/>
  <w15:docId w15:val="{99C95B59-0662-47B6-A5FC-6D4724FA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5A28"/>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7C500E"/>
    <w:rPr>
      <w:rFonts w:ascii="Arial" w:hAnsi="Arial" w:cs="Arial"/>
      <w:color w:val="0069B4"/>
    </w:rPr>
  </w:style>
  <w:style w:type="paragraph" w:styleId="Listenabsatz">
    <w:name w:val="List Paragraph"/>
    <w:aliases w:val="Listenabsatz-1-Ebene"/>
    <w:basedOn w:val="Standard"/>
    <w:link w:val="ListenabsatzZchn"/>
    <w:uiPriority w:val="34"/>
    <w:qFormat/>
    <w:rsid w:val="00B05A28"/>
    <w:pPr>
      <w:ind w:left="720"/>
      <w:contextualSpacing/>
    </w:pPr>
  </w:style>
  <w:style w:type="table" w:styleId="Tabellenraster">
    <w:name w:val="Table Grid"/>
    <w:basedOn w:val="NormaleTabelle"/>
    <w:uiPriority w:val="39"/>
    <w:rsid w:val="00B0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Listenabsatz-1-Ebene Zchn"/>
    <w:basedOn w:val="Absatz-Standardschriftart"/>
    <w:link w:val="Listenabsatz"/>
    <w:uiPriority w:val="34"/>
    <w:rsid w:val="00B05A2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5236</Characters>
  <Application>Microsoft Office Word</Application>
  <DocSecurity>0</DocSecurity>
  <Lines>43</Lines>
  <Paragraphs>12</Paragraphs>
  <ScaleCrop>false</ScaleCrop>
  <Company>BiBB</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Surya</dc:creator>
  <cp:keywords/>
  <dc:description/>
  <cp:lastModifiedBy>Saul, Surya</cp:lastModifiedBy>
  <cp:revision>12</cp:revision>
  <dcterms:created xsi:type="dcterms:W3CDTF">2021-03-15T13:10:00Z</dcterms:created>
  <dcterms:modified xsi:type="dcterms:W3CDTF">2021-03-26T14:55:00Z</dcterms:modified>
</cp:coreProperties>
</file>