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27" w:rsidRPr="00C34C27" w:rsidRDefault="00333999" w:rsidP="00C34C27">
      <w:pPr>
        <w:keepNext/>
        <w:keepLines/>
        <w:spacing w:before="40" w:after="0"/>
        <w:ind w:left="576" w:hanging="576"/>
        <w:outlineLvl w:val="1"/>
        <w:rPr>
          <w:rFonts w:eastAsiaTheme="majorEastAsia" w:cstheme="majorBidi"/>
          <w:sz w:val="26"/>
          <w:szCs w:val="26"/>
        </w:rPr>
      </w:pPr>
      <w:r w:rsidRPr="00333999">
        <w:rPr>
          <w:rFonts w:eastAsiaTheme="majorEastAsia" w:cstheme="majorBidi"/>
          <w:sz w:val="26"/>
          <w:szCs w:val="26"/>
        </w:rPr>
        <w:t>Checkliste für die Entwicklung von Lernsituationen</w:t>
      </w:r>
    </w:p>
    <w:p w:rsidR="00333999" w:rsidRPr="00333999" w:rsidRDefault="00333999" w:rsidP="00333999"/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333999" w:rsidRPr="00333999" w:rsidTr="005B6DED">
        <w:trPr>
          <w:trHeight w:val="482"/>
        </w:trPr>
        <w:tc>
          <w:tcPr>
            <w:tcW w:w="5000" w:type="pct"/>
            <w:gridSpan w:val="3"/>
            <w:shd w:val="clear" w:color="auto" w:fill="FCCE8F"/>
            <w:vAlign w:val="center"/>
          </w:tcPr>
          <w:p w:rsidR="00333999" w:rsidRPr="00333999" w:rsidRDefault="00333999" w:rsidP="00EF2E06">
            <w:pPr>
              <w:numPr>
                <w:ilvl w:val="0"/>
                <w:numId w:val="12"/>
              </w:numPr>
              <w:tabs>
                <w:tab w:val="center" w:pos="3820"/>
              </w:tabs>
              <w:spacing w:after="160" w:line="259" w:lineRule="auto"/>
              <w:ind w:hanging="357"/>
              <w:contextualSpacing/>
              <w:rPr>
                <w:b/>
              </w:rPr>
            </w:pPr>
            <w:r w:rsidRPr="00333999">
              <w:rPr>
                <w:b/>
              </w:rPr>
              <w:t>Anforderungen an das Praxisbeispiel</w:t>
            </w:r>
          </w:p>
        </w:tc>
      </w:tr>
      <w:tr w:rsidR="00333999" w:rsidRPr="00333999" w:rsidTr="005B6DED">
        <w:trPr>
          <w:trHeight w:val="3425"/>
        </w:trPr>
        <w:tc>
          <w:tcPr>
            <w:tcW w:w="5000" w:type="pct"/>
            <w:gridSpan w:val="3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</w:pPr>
            <w:r w:rsidRPr="00333999">
              <w:t xml:space="preserve">Das Beispiel ist tiefgründig und mehrdimensional.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</w:pPr>
            <w:r w:rsidRPr="00333999">
              <w:t xml:space="preserve">Es lässt verschiedene Deutungen/Perspektivwechsel zu.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</w:pPr>
            <w:r w:rsidRPr="00333999">
              <w:t xml:space="preserve">Es löst Ergriffenheit aus und ermöglicht die Erfahrung persönlicher und kollektiver Betroffenheit.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</w:pPr>
            <w:r w:rsidRPr="00333999">
              <w:t xml:space="preserve">Es birgt Übertragungsmöglichkeiten auf andere Situationen und ist stellvertretend für ähnliche Fälle.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</w:pPr>
            <w:r w:rsidRPr="00333999">
              <w:t xml:space="preserve">Es bietet Möglichkeiten, das Wesen der Sache besonders deutlich hervortreten zu lassen und hat Anteile, die charakteristisch, typisch und repräsentativ sind.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</w:pPr>
            <w:r w:rsidRPr="00333999">
              <w:t xml:space="preserve">Es eröffnet Prinzipien, Kategorien und Einsichten.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</w:pPr>
            <w:r w:rsidRPr="00333999">
              <w:t xml:space="preserve">Es lässt auf Gesetzmäßigkeiten schließen.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</w:rPr>
            </w:pPr>
            <w:r w:rsidRPr="00333999">
              <w:t xml:space="preserve">Es bietet das Erlernen von Methoden und Arbeitsweisen an. </w:t>
            </w:r>
          </w:p>
        </w:tc>
      </w:tr>
      <w:tr w:rsidR="00333999" w:rsidRPr="00333999" w:rsidTr="005B6DED">
        <w:trPr>
          <w:trHeight w:val="481"/>
        </w:trPr>
        <w:tc>
          <w:tcPr>
            <w:tcW w:w="5000" w:type="pct"/>
            <w:gridSpan w:val="3"/>
            <w:shd w:val="clear" w:color="auto" w:fill="B9D36C"/>
            <w:vAlign w:val="center"/>
          </w:tcPr>
          <w:p w:rsidR="00333999" w:rsidRPr="00333999" w:rsidRDefault="00333999" w:rsidP="00EF2E06">
            <w:pPr>
              <w:numPr>
                <w:ilvl w:val="0"/>
                <w:numId w:val="12"/>
              </w:numPr>
              <w:tabs>
                <w:tab w:val="center" w:pos="3820"/>
              </w:tabs>
              <w:spacing w:after="160" w:line="259" w:lineRule="auto"/>
              <w:contextualSpacing/>
              <w:rPr>
                <w:b/>
              </w:rPr>
            </w:pPr>
            <w:r w:rsidRPr="00333999">
              <w:rPr>
                <w:b/>
              </w:rPr>
              <w:t xml:space="preserve">Die Situationsmerkmale bezogen auf den Ausbildungsverlauf </w:t>
            </w:r>
          </w:p>
        </w:tc>
      </w:tr>
      <w:tr w:rsidR="00333999" w:rsidRPr="00333999" w:rsidTr="005B6DED">
        <w:trPr>
          <w:trHeight w:val="490"/>
        </w:trPr>
        <w:tc>
          <w:tcPr>
            <w:tcW w:w="1667" w:type="pct"/>
            <w:shd w:val="clear" w:color="auto" w:fill="8BADDC"/>
            <w:vAlign w:val="center"/>
          </w:tcPr>
          <w:p w:rsidR="00333999" w:rsidRPr="00333999" w:rsidRDefault="00333999" w:rsidP="00EF2E06">
            <w:pPr>
              <w:spacing w:after="160" w:line="259" w:lineRule="auto"/>
              <w:jc w:val="center"/>
              <w:rPr>
                <w:i/>
              </w:rPr>
            </w:pPr>
            <w:r w:rsidRPr="00333999">
              <w:rPr>
                <w:i/>
              </w:rPr>
              <w:t>1. Ausbildungsdrittel</w:t>
            </w:r>
          </w:p>
        </w:tc>
        <w:tc>
          <w:tcPr>
            <w:tcW w:w="1667" w:type="pct"/>
            <w:shd w:val="clear" w:color="auto" w:fill="8BADDC"/>
            <w:vAlign w:val="center"/>
          </w:tcPr>
          <w:p w:rsidR="00333999" w:rsidRPr="00333999" w:rsidRDefault="00333999" w:rsidP="00EF2E06">
            <w:pPr>
              <w:spacing w:after="160" w:line="259" w:lineRule="auto"/>
              <w:jc w:val="center"/>
              <w:rPr>
                <w:i/>
              </w:rPr>
            </w:pPr>
            <w:r w:rsidRPr="00333999">
              <w:rPr>
                <w:i/>
              </w:rPr>
              <w:t>2. Ausbildungsdrittel</w:t>
            </w:r>
          </w:p>
        </w:tc>
        <w:tc>
          <w:tcPr>
            <w:tcW w:w="1666" w:type="pct"/>
            <w:shd w:val="clear" w:color="auto" w:fill="8BADDC"/>
            <w:vAlign w:val="center"/>
          </w:tcPr>
          <w:p w:rsidR="00333999" w:rsidRPr="00333999" w:rsidRDefault="00333999" w:rsidP="00EF2E06">
            <w:pPr>
              <w:spacing w:after="160" w:line="259" w:lineRule="auto"/>
              <w:jc w:val="center"/>
              <w:rPr>
                <w:i/>
              </w:rPr>
            </w:pPr>
            <w:r w:rsidRPr="00333999">
              <w:rPr>
                <w:i/>
              </w:rPr>
              <w:t>3. Ausbildungsdrittel</w:t>
            </w:r>
          </w:p>
        </w:tc>
      </w:tr>
      <w:tr w:rsidR="00333999" w:rsidRPr="00333999" w:rsidTr="005B6DED">
        <w:trPr>
          <w:trHeight w:val="438"/>
        </w:trPr>
        <w:tc>
          <w:tcPr>
            <w:tcW w:w="5000" w:type="pct"/>
            <w:gridSpan w:val="3"/>
            <w:shd w:val="clear" w:color="auto" w:fill="E3EDC6"/>
            <w:vAlign w:val="center"/>
          </w:tcPr>
          <w:p w:rsidR="00333999" w:rsidRPr="00333999" w:rsidRDefault="00333999" w:rsidP="00EF2E06">
            <w:pPr>
              <w:spacing w:after="160" w:line="259" w:lineRule="auto"/>
            </w:pPr>
            <w:r w:rsidRPr="00333999">
              <w:t>Handlungsanlässe</w:t>
            </w:r>
          </w:p>
        </w:tc>
      </w:tr>
      <w:tr w:rsidR="00333999" w:rsidRPr="00333999" w:rsidTr="005B6DED">
        <w:trPr>
          <w:trHeight w:val="2246"/>
        </w:trPr>
        <w:tc>
          <w:tcPr>
            <w:tcW w:w="1667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Stabiler Gesundheitszustand,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Niedriger bis mittlerer Grad an Pflegebedürftigkeit,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1-3 Pflegediagnose/-n,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Einfache Pflegephänomene.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Zeitweise instabiler Gesundheitszustand,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Mittlerer Grad an Pflegebedürftigkeit,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>3-5 Pflegediagnose/-n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Einfache bis komplexe Pflegephänomene. </w:t>
            </w:r>
          </w:p>
        </w:tc>
        <w:tc>
          <w:tcPr>
            <w:tcW w:w="1666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Instabiler Gesundheitszustand,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Hoher Grad an Pflegebedürftigkeit,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Mehrere Pflegediagnosen,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Komplexe Pflegephänomene. </w:t>
            </w:r>
          </w:p>
        </w:tc>
      </w:tr>
      <w:tr w:rsidR="00333999" w:rsidRPr="00333999" w:rsidTr="005B6DED">
        <w:trPr>
          <w:trHeight w:val="348"/>
        </w:trPr>
        <w:tc>
          <w:tcPr>
            <w:tcW w:w="5000" w:type="pct"/>
            <w:gridSpan w:val="3"/>
            <w:shd w:val="clear" w:color="auto" w:fill="E3EDC6"/>
            <w:vAlign w:val="center"/>
          </w:tcPr>
          <w:p w:rsidR="00333999" w:rsidRPr="00333999" w:rsidRDefault="00333999" w:rsidP="00EF2E06">
            <w:pPr>
              <w:spacing w:after="160" w:line="259" w:lineRule="auto"/>
            </w:pPr>
            <w:r w:rsidRPr="00333999">
              <w:t>Kontextbedingungen</w:t>
            </w:r>
          </w:p>
        </w:tc>
      </w:tr>
      <w:tr w:rsidR="00333999" w:rsidRPr="00333999" w:rsidTr="005B6DED">
        <w:trPr>
          <w:trHeight w:val="3221"/>
        </w:trPr>
        <w:tc>
          <w:tcPr>
            <w:tcW w:w="1667" w:type="pct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Ein Versorgungsbereich, in dem der Orientierungseinsatz oder der erste Pflichteinsatz stattfindet.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Für die erforderlichen Pflegemaßnahmen existierende Standards einsetzen.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Ein Versorgungsbereich, in dem ein Pflichteinsatz stattfindet.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Für die erforderlichen Pflegemaßnahmen existieren nicht immer Standards – alternative evidenzbasierte Maßnahmen sind möglich. </w:t>
            </w:r>
          </w:p>
        </w:tc>
        <w:tc>
          <w:tcPr>
            <w:tcW w:w="1666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Ein Versorgungsbereich, in dem ein Pflichteinsatz oder der Vertiefungseinsatz stattfindet.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Für die erforderlichen Pflegemaßnahmen existieren nicht immer Standards – alternative evidenzbasierte Maßnahmen sind erforderlich. </w:t>
            </w:r>
          </w:p>
        </w:tc>
      </w:tr>
    </w:tbl>
    <w:p w:rsidR="00333999" w:rsidRPr="00333999" w:rsidRDefault="00333999" w:rsidP="00333999">
      <w:r w:rsidRPr="00333999">
        <w:br w:type="page"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333999" w:rsidRPr="00333999" w:rsidTr="005B6DED">
        <w:trPr>
          <w:trHeight w:val="547"/>
        </w:trPr>
        <w:tc>
          <w:tcPr>
            <w:tcW w:w="5000" w:type="pct"/>
            <w:gridSpan w:val="3"/>
            <w:shd w:val="clear" w:color="auto" w:fill="E3EDC6"/>
            <w:vAlign w:val="center"/>
          </w:tcPr>
          <w:p w:rsidR="00333999" w:rsidRPr="00333999" w:rsidRDefault="00333999" w:rsidP="00EF2E06">
            <w:pPr>
              <w:spacing w:after="160" w:line="259" w:lineRule="auto"/>
            </w:pPr>
            <w:r w:rsidRPr="00333999">
              <w:lastRenderedPageBreak/>
              <w:t>Ausgewählte Akteure</w:t>
            </w:r>
          </w:p>
        </w:tc>
      </w:tr>
      <w:tr w:rsidR="00333999" w:rsidRPr="00333999" w:rsidTr="005B6DED">
        <w:trPr>
          <w:trHeight w:val="2687"/>
        </w:trPr>
        <w:tc>
          <w:tcPr>
            <w:tcW w:w="1667" w:type="pct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1-3 Akteure (Auszubildende, zu pflegender Mensch, Praxisanleitende) mit weitgehend kongruenten Vorstellungen. </w:t>
            </w:r>
          </w:p>
        </w:tc>
        <w:tc>
          <w:tcPr>
            <w:tcW w:w="1667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3 und mehr Akteure (Auszubildende, zu pflegender Mensch, Praxisanleitende, Angehörige, intradisziplinäre Kolleginnen und Kollegen) mit teilweise divergierenden Vorstellungen. </w:t>
            </w:r>
          </w:p>
        </w:tc>
        <w:tc>
          <w:tcPr>
            <w:tcW w:w="1666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3"/>
              <w:contextualSpacing/>
            </w:pPr>
            <w:r w:rsidRPr="00333999">
              <w:t xml:space="preserve">3 und mehr Akteure (Auszubildende, zu pflegender Mensch, Praxisanleitende, Angehörige, intra- und interdisziplinäre Kolleginnen und Kollegen) mit teilweise divergierenden Vorstellungen. </w:t>
            </w:r>
          </w:p>
        </w:tc>
      </w:tr>
      <w:tr w:rsidR="00333999" w:rsidRPr="00333999" w:rsidTr="005B6DED">
        <w:trPr>
          <w:trHeight w:val="547"/>
        </w:trPr>
        <w:tc>
          <w:tcPr>
            <w:tcW w:w="5000" w:type="pct"/>
            <w:gridSpan w:val="3"/>
            <w:shd w:val="clear" w:color="auto" w:fill="E3EDC6"/>
            <w:vAlign w:val="center"/>
          </w:tcPr>
          <w:p w:rsidR="00333999" w:rsidRPr="00333999" w:rsidRDefault="00333999" w:rsidP="00EF2E06">
            <w:pPr>
              <w:spacing w:after="160" w:line="259" w:lineRule="auto"/>
            </w:pPr>
            <w:r w:rsidRPr="00333999">
              <w:t>Erleben/Deuten/Verarbeiten</w:t>
            </w:r>
          </w:p>
        </w:tc>
      </w:tr>
      <w:tr w:rsidR="00333999" w:rsidRPr="00333999" w:rsidTr="003E7EB5">
        <w:trPr>
          <w:trHeight w:val="4760"/>
        </w:trPr>
        <w:tc>
          <w:tcPr>
            <w:tcW w:w="1667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Die Pflegesituationen nehmen Bezug auf die Lebenswelt und die Erfahrungen der Auszubildenden.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Das Erleben der zu pflegenden Menschen ist nachvollziehbar, kann aber Emotionen, wie z.B. Mitleid oder Hilflosigkeit auslösen.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Die Bewältigungsstrategien der zu pflegenden Menschen bieten Diskussionsanlass. </w:t>
            </w:r>
          </w:p>
        </w:tc>
        <w:tc>
          <w:tcPr>
            <w:tcW w:w="1667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Die Pflegesituationen nehmen Bezug auf Erfahrungen der Auszubildenden oder nehmen diese vorweg.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Das Erleben der zu pflegenden Menschen ist nicht immer nachvollziehbar, kann </w:t>
            </w:r>
            <w:bookmarkStart w:id="0" w:name="_GoBack"/>
            <w:bookmarkEnd w:id="0"/>
            <w:r w:rsidRPr="00333999">
              <w:rPr>
                <w:rFonts w:eastAsiaTheme="minorEastAsia"/>
                <w:lang w:eastAsia="de-DE"/>
              </w:rPr>
              <w:t xml:space="preserve">Emotionen, wie z.B. Mitleid, Wut oder Hilflosigkeit auslösen.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Die Bewältigungsstrategien der zu pflegenden Menschen können Dilemmata auslösen. </w:t>
            </w:r>
          </w:p>
        </w:tc>
        <w:tc>
          <w:tcPr>
            <w:tcW w:w="1666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Die Pflegesituationen nehmen Bezug auf Erfahrungen der Auszubildenden oder nehmen diese vorweg.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Das Erleben der zu pflegenden Menschen ist nicht immer nachvollziehbar, kann Emotionen, wie z.B. Mitleid, Wut oder Hilflosigkeit auslösen. </w:t>
            </w:r>
          </w:p>
          <w:p w:rsidR="00333999" w:rsidRPr="00333999" w:rsidRDefault="00333999" w:rsidP="00EF2E06">
            <w:pPr>
              <w:numPr>
                <w:ilvl w:val="0"/>
                <w:numId w:val="10"/>
              </w:numPr>
              <w:spacing w:after="160" w:line="259" w:lineRule="auto"/>
              <w:ind w:left="307" w:hanging="284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Die Bewältigungsstrategien der zu pflegenden Menschen lösen Dilemmata aus. </w:t>
            </w:r>
          </w:p>
        </w:tc>
      </w:tr>
      <w:tr w:rsidR="00333999" w:rsidRPr="00333999" w:rsidTr="005B6DED">
        <w:trPr>
          <w:trHeight w:val="547"/>
        </w:trPr>
        <w:tc>
          <w:tcPr>
            <w:tcW w:w="5000" w:type="pct"/>
            <w:gridSpan w:val="3"/>
            <w:shd w:val="clear" w:color="auto" w:fill="E3EDC6"/>
            <w:vAlign w:val="center"/>
          </w:tcPr>
          <w:p w:rsidR="00333999" w:rsidRPr="00333999" w:rsidRDefault="00333999" w:rsidP="00EF2E06">
            <w:pPr>
              <w:spacing w:after="160" w:line="259" w:lineRule="auto"/>
            </w:pPr>
            <w:r w:rsidRPr="00333999">
              <w:t>Handlungsmuste</w:t>
            </w:r>
            <w:r w:rsidRPr="00333999">
              <w:rPr>
                <w:b/>
              </w:rPr>
              <w:t>r</w:t>
            </w:r>
          </w:p>
        </w:tc>
      </w:tr>
      <w:tr w:rsidR="00333999" w:rsidRPr="00333999" w:rsidTr="005B6DED">
        <w:trPr>
          <w:trHeight w:val="3829"/>
        </w:trPr>
        <w:tc>
          <w:tcPr>
            <w:tcW w:w="1667" w:type="pct"/>
          </w:tcPr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Handlungen sind eingebettet in den Pflegeprozess. </w:t>
            </w:r>
          </w:p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Orientieren sich an ausgewählten Kompetenzen der Anlage 1 PflAPrV. </w:t>
            </w:r>
          </w:p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Einfach bis mittelschwer durchzuführende ungefährliche Maßnahmen.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Handlungen sind eingebettet in den Pflegeprozess, können aber von der Pflegeplanung abweichen. </w:t>
            </w:r>
          </w:p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Orientieren sich an ausgewählten Kompetenzen der Anlage 1 PflAPrV. </w:t>
            </w:r>
          </w:p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Mittelschwer bis schwer durchzuführende Maßnahmen mit geringem bis mittleren Gefahrenpotenzial. </w:t>
            </w:r>
          </w:p>
        </w:tc>
        <w:tc>
          <w:tcPr>
            <w:tcW w:w="1666" w:type="pct"/>
            <w:vAlign w:val="center"/>
          </w:tcPr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Handlungen sind in den Pflegeprozess eingebettet, können von der Pflegeplanung abweichen und sind der Situation entsprechend anzupassen. </w:t>
            </w:r>
          </w:p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Orientieren sich an ausgewählten Kompetenzen der Anlage 2, 3 oder 4 PflAPrV. </w:t>
            </w:r>
          </w:p>
          <w:p w:rsidR="00333999" w:rsidRPr="00333999" w:rsidRDefault="00333999" w:rsidP="00EF2E06">
            <w:pPr>
              <w:numPr>
                <w:ilvl w:val="0"/>
                <w:numId w:val="11"/>
              </w:numPr>
              <w:spacing w:after="160" w:line="259" w:lineRule="auto"/>
              <w:ind w:left="306" w:hanging="306"/>
              <w:contextualSpacing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Schwer durchzuführende, auch komplexe Maßnahmen, ggf. mit hohem Gefahrenpotenzial. </w:t>
            </w:r>
          </w:p>
        </w:tc>
      </w:tr>
    </w:tbl>
    <w:p w:rsidR="00333999" w:rsidRPr="00333999" w:rsidRDefault="00333999" w:rsidP="00333999">
      <w:r w:rsidRPr="00333999">
        <w:br w:type="page"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333999" w:rsidRPr="00333999" w:rsidTr="00333999">
        <w:trPr>
          <w:cantSplit/>
          <w:trHeight w:val="416"/>
        </w:trPr>
        <w:tc>
          <w:tcPr>
            <w:tcW w:w="5000" w:type="pct"/>
            <w:gridSpan w:val="3"/>
            <w:shd w:val="clear" w:color="auto" w:fill="4F8FCC"/>
            <w:vAlign w:val="center"/>
          </w:tcPr>
          <w:p w:rsidR="00333999" w:rsidRPr="00333999" w:rsidRDefault="00333999" w:rsidP="00EF2E06">
            <w:pPr>
              <w:numPr>
                <w:ilvl w:val="0"/>
                <w:numId w:val="12"/>
              </w:numPr>
              <w:tabs>
                <w:tab w:val="center" w:pos="3820"/>
              </w:tabs>
              <w:spacing w:after="160" w:line="259" w:lineRule="auto"/>
              <w:ind w:left="714" w:hanging="357"/>
              <w:contextualSpacing/>
              <w:rPr>
                <w:b/>
              </w:rPr>
            </w:pPr>
            <w:r w:rsidRPr="00333999">
              <w:rPr>
                <w:b/>
              </w:rPr>
              <w:lastRenderedPageBreak/>
              <w:t>Kompetenzen, die mit der Bearbeitung der Lernsituation entwickelt werden</w:t>
            </w:r>
          </w:p>
        </w:tc>
      </w:tr>
      <w:tr w:rsidR="00333999" w:rsidRPr="00333999" w:rsidTr="005B6DED">
        <w:trPr>
          <w:cantSplit/>
        </w:trPr>
        <w:tc>
          <w:tcPr>
            <w:tcW w:w="5000" w:type="pct"/>
            <w:gridSpan w:val="3"/>
            <w:shd w:val="clear" w:color="auto" w:fill="D9EAF5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Erforderliche fachsystematische Kenntnisse zur Fallbearbeitung </w:t>
            </w:r>
          </w:p>
        </w:tc>
      </w:tr>
      <w:tr w:rsidR="00333999" w:rsidRPr="00333999" w:rsidTr="005B6DED">
        <w:trPr>
          <w:cantSplit/>
        </w:trPr>
        <w:tc>
          <w:tcPr>
            <w:tcW w:w="1667" w:type="pct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Elementares allgemeines Wissen bis zu grundlegendem Fachwissen.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Grundlegendes Fachwissen bis zu erweitertem Fachwissen. </w:t>
            </w:r>
          </w:p>
        </w:tc>
        <w:tc>
          <w:tcPr>
            <w:tcW w:w="1666" w:type="pct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Erweitertes Fachwissen bis zu vertieftem fachtheoretischem und vernetztem Wissen. </w:t>
            </w:r>
          </w:p>
        </w:tc>
      </w:tr>
      <w:tr w:rsidR="00333999" w:rsidRPr="00333999" w:rsidTr="005B6DED">
        <w:trPr>
          <w:cantSplit/>
        </w:trPr>
        <w:tc>
          <w:tcPr>
            <w:tcW w:w="5000" w:type="pct"/>
            <w:gridSpan w:val="3"/>
            <w:shd w:val="clear" w:color="auto" w:fill="D9EAF5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Anforderungen an die Beobachtung und Urteilsbildung </w:t>
            </w:r>
          </w:p>
        </w:tc>
      </w:tr>
      <w:tr w:rsidR="00333999" w:rsidRPr="00333999" w:rsidTr="005B6DED">
        <w:trPr>
          <w:cantSplit/>
        </w:trPr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Phänomene, einfache Zusammenhänge und Handlungsanlässe erkennen.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Phänomene, einfache Zusammenhänge und Handlungsanlässe erkennen und Interventionen ableiten. </w:t>
            </w:r>
          </w:p>
        </w:tc>
        <w:tc>
          <w:tcPr>
            <w:tcW w:w="1666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Handlungsanlässe erkennen, Phänomene und Interventionen in einen theoretischen Kontext stellen. </w:t>
            </w:r>
          </w:p>
        </w:tc>
      </w:tr>
      <w:tr w:rsidR="00333999" w:rsidRPr="00333999" w:rsidTr="005B6DED">
        <w:trPr>
          <w:cantSplit/>
        </w:trPr>
        <w:tc>
          <w:tcPr>
            <w:tcW w:w="5000" w:type="pct"/>
            <w:gridSpan w:val="3"/>
            <w:shd w:val="clear" w:color="auto" w:fill="D9EAF5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Selbstständigkeit und Eigenaktivität bei der Auswahl geeigneter Maßnahmen </w:t>
            </w:r>
          </w:p>
        </w:tc>
      </w:tr>
      <w:tr w:rsidR="00333999" w:rsidRPr="00333999" w:rsidTr="005B6DED">
        <w:trPr>
          <w:cantSplit/>
        </w:trPr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Grundlegende und standardisierte Maßnahmen kennen und fallbezogen auswählen.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Standardisierte Maßnahmen und Konzepte zur Pflege und Gesundheitsversorgung fallbezogen auswählen. </w:t>
            </w:r>
          </w:p>
        </w:tc>
        <w:tc>
          <w:tcPr>
            <w:tcW w:w="1666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Evidenzbasierte Konzepte zur Pflege und Gesundheitsversorgung fallbezogen auswählen, Standards entwickeln. </w:t>
            </w:r>
          </w:p>
        </w:tc>
      </w:tr>
      <w:tr w:rsidR="00333999" w:rsidRPr="00333999" w:rsidTr="005B6DED">
        <w:trPr>
          <w:cantSplit/>
        </w:trPr>
        <w:tc>
          <w:tcPr>
            <w:tcW w:w="5000" w:type="pct"/>
            <w:gridSpan w:val="3"/>
            <w:shd w:val="clear" w:color="auto" w:fill="D9EAF5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>Fähigkeit zur Organisation von Prozessen</w:t>
            </w:r>
          </w:p>
        </w:tc>
      </w:tr>
      <w:tr w:rsidR="00333999" w:rsidRPr="00333999" w:rsidTr="005B6DED">
        <w:trPr>
          <w:cantSplit/>
        </w:trPr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In einfachen Zusammenhängen einen Pflegeprozess planen und die jeweiligen Zuständigkeiten kennen.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Pflegeprozesse planen, organisieren und die jeweils zuständigen Personen einbeziehen. </w:t>
            </w:r>
          </w:p>
        </w:tc>
        <w:tc>
          <w:tcPr>
            <w:tcW w:w="1666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Unter Einbezug verschiedener Akteure Pflegeprozesse organisieren und steuern. </w:t>
            </w:r>
          </w:p>
        </w:tc>
      </w:tr>
      <w:tr w:rsidR="00333999" w:rsidRPr="00333999" w:rsidTr="005B6DED">
        <w:trPr>
          <w:cantSplit/>
        </w:trPr>
        <w:tc>
          <w:tcPr>
            <w:tcW w:w="5000" w:type="pct"/>
            <w:gridSpan w:val="3"/>
            <w:shd w:val="clear" w:color="auto" w:fill="D9EAF5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Fähigkeit zur Selbstreflexion und zur selbstständigen Weiterentwicklung </w:t>
            </w:r>
          </w:p>
        </w:tc>
      </w:tr>
      <w:tr w:rsidR="00333999" w:rsidRPr="00333999" w:rsidTr="005B6DED">
        <w:trPr>
          <w:cantSplit/>
        </w:trPr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Wahrnehmung von Lern- und Entwicklungsbedarf für die Situationsbearbeitung, Annehmen von Lernangeboten.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Aktives Einfordern und eigenständiges Erschließen von Lernangeboten zur Bearbeitung der Lernsituation. </w:t>
            </w:r>
          </w:p>
        </w:tc>
        <w:tc>
          <w:tcPr>
            <w:tcW w:w="1666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Ergreifen von Maßnahmen zur Wissenserweiterung und Fähigkeit zum Transfer auf neue und unbekannte Situationen. </w:t>
            </w:r>
          </w:p>
        </w:tc>
      </w:tr>
      <w:tr w:rsidR="00333999" w:rsidRPr="00333999" w:rsidTr="005B6DED">
        <w:trPr>
          <w:cantSplit/>
        </w:trPr>
        <w:tc>
          <w:tcPr>
            <w:tcW w:w="5000" w:type="pct"/>
            <w:gridSpan w:val="3"/>
            <w:shd w:val="clear" w:color="auto" w:fill="D9EAF5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Kennen und Anwenden ethischer Prinzipien </w:t>
            </w:r>
          </w:p>
        </w:tc>
      </w:tr>
      <w:tr w:rsidR="00333999" w:rsidRPr="00333999" w:rsidTr="005B6DED">
        <w:trPr>
          <w:cantSplit/>
        </w:trPr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Ethische Grundsätze kennen und auf die Situation bezogen anwenden.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Den Pflegeberuf und sich selbst vor dem Hintergrund ethischer Grundsätze wahrnehmen und auf die Situation bezogen reflektieren, ethische Dilemmata identifizieren. </w:t>
            </w:r>
          </w:p>
        </w:tc>
        <w:tc>
          <w:tcPr>
            <w:tcW w:w="1666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Ethische Grundsätze für den Pflegeberuf reflektieren ethische </w:t>
            </w:r>
            <w:proofErr w:type="spellStart"/>
            <w:r w:rsidRPr="00333999">
              <w:rPr>
                <w:rFonts w:eastAsiaTheme="minorEastAsia"/>
                <w:lang w:eastAsia="de-DE"/>
              </w:rPr>
              <w:t>Dilemmasituationen</w:t>
            </w:r>
            <w:proofErr w:type="spellEnd"/>
            <w:r w:rsidRPr="00333999">
              <w:rPr>
                <w:rFonts w:eastAsiaTheme="minorEastAsia"/>
                <w:lang w:eastAsia="de-DE"/>
              </w:rPr>
              <w:t xml:space="preserve"> erkennen und unter Zuhilfenahme von Modellen bearbeiten. </w:t>
            </w:r>
          </w:p>
        </w:tc>
      </w:tr>
      <w:tr w:rsidR="00333999" w:rsidRPr="00333999" w:rsidTr="005B6DED">
        <w:trPr>
          <w:cantSplit/>
        </w:trPr>
        <w:tc>
          <w:tcPr>
            <w:tcW w:w="5000" w:type="pct"/>
            <w:gridSpan w:val="3"/>
            <w:shd w:val="clear" w:color="auto" w:fill="D9EAF5"/>
            <w:vAlign w:val="center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Fähigkeit zum Erkennen und Lösen von Konflikten </w:t>
            </w:r>
          </w:p>
        </w:tc>
      </w:tr>
      <w:tr w:rsidR="00333999" w:rsidRPr="00333999" w:rsidTr="00EF2E06">
        <w:trPr>
          <w:cantSplit/>
          <w:trHeight w:val="1149"/>
        </w:trPr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Erkennen von (drohenden) Konflikten in der Situation. </w:t>
            </w:r>
          </w:p>
        </w:tc>
        <w:tc>
          <w:tcPr>
            <w:tcW w:w="1667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Verbalisieren von Konfliktfeldern und Einsatz von Strategien zur Problemlösung. </w:t>
            </w:r>
          </w:p>
        </w:tc>
        <w:tc>
          <w:tcPr>
            <w:tcW w:w="1666" w:type="pct"/>
          </w:tcPr>
          <w:p w:rsidR="00333999" w:rsidRPr="00333999" w:rsidRDefault="00333999" w:rsidP="00EF2E06">
            <w:pPr>
              <w:spacing w:after="160" w:line="259" w:lineRule="auto"/>
              <w:rPr>
                <w:rFonts w:eastAsiaTheme="minorEastAsia"/>
                <w:lang w:eastAsia="de-DE"/>
              </w:rPr>
            </w:pPr>
            <w:r w:rsidRPr="00333999">
              <w:rPr>
                <w:rFonts w:eastAsiaTheme="minorEastAsia"/>
                <w:lang w:eastAsia="de-DE"/>
              </w:rPr>
              <w:t xml:space="preserve">Entwicklung von Strategien und Konzepten zur Problemlösung. </w:t>
            </w:r>
          </w:p>
        </w:tc>
      </w:tr>
    </w:tbl>
    <w:p w:rsidR="00BA3C86" w:rsidRPr="00C34C27" w:rsidRDefault="00BA3C86" w:rsidP="00EF2E06"/>
    <w:sectPr w:rsidR="00BA3C86" w:rsidRPr="00C34C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0BE"/>
    <w:multiLevelType w:val="hybridMultilevel"/>
    <w:tmpl w:val="698E0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3264"/>
    <w:multiLevelType w:val="hybridMultilevel"/>
    <w:tmpl w:val="3320A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12C5"/>
    <w:multiLevelType w:val="hybridMultilevel"/>
    <w:tmpl w:val="82823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D4A4A"/>
    <w:multiLevelType w:val="hybridMultilevel"/>
    <w:tmpl w:val="86F27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6C6C"/>
    <w:multiLevelType w:val="hybridMultilevel"/>
    <w:tmpl w:val="5A3AF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1664"/>
    <w:multiLevelType w:val="hybridMultilevel"/>
    <w:tmpl w:val="1EF02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142FF"/>
    <w:multiLevelType w:val="hybridMultilevel"/>
    <w:tmpl w:val="9A506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00B5"/>
    <w:multiLevelType w:val="hybridMultilevel"/>
    <w:tmpl w:val="C8366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2F48"/>
    <w:multiLevelType w:val="hybridMultilevel"/>
    <w:tmpl w:val="2D429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71A5B"/>
    <w:multiLevelType w:val="hybridMultilevel"/>
    <w:tmpl w:val="B91E5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62DF5"/>
    <w:multiLevelType w:val="hybridMultilevel"/>
    <w:tmpl w:val="A3EE75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41DE2"/>
    <w:multiLevelType w:val="hybridMultilevel"/>
    <w:tmpl w:val="08340670"/>
    <w:lvl w:ilvl="0" w:tplc="0407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FA"/>
    <w:rsid w:val="00333999"/>
    <w:rsid w:val="003E7EB5"/>
    <w:rsid w:val="00597C0D"/>
    <w:rsid w:val="006674FA"/>
    <w:rsid w:val="0077212A"/>
    <w:rsid w:val="007C500E"/>
    <w:rsid w:val="00B05A28"/>
    <w:rsid w:val="00BA3C86"/>
    <w:rsid w:val="00C34C27"/>
    <w:rsid w:val="00C464E9"/>
    <w:rsid w:val="00E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95B59-0662-47B6-A5FC-6D4724FA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5A28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7C500E"/>
    <w:rPr>
      <w:rFonts w:ascii="Arial" w:hAnsi="Arial" w:cs="Arial"/>
      <w:color w:val="0069B4"/>
    </w:rPr>
  </w:style>
  <w:style w:type="paragraph" w:styleId="Listenabsatz">
    <w:name w:val="List Paragraph"/>
    <w:aliases w:val="Listenabsatz-1-Ebene"/>
    <w:basedOn w:val="Standard"/>
    <w:link w:val="ListenabsatzZchn"/>
    <w:uiPriority w:val="34"/>
    <w:qFormat/>
    <w:rsid w:val="00B05A28"/>
    <w:pPr>
      <w:ind w:left="720"/>
      <w:contextualSpacing/>
    </w:pPr>
  </w:style>
  <w:style w:type="table" w:styleId="Tabellenraster">
    <w:name w:val="Table Grid"/>
    <w:basedOn w:val="NormaleTabelle"/>
    <w:uiPriority w:val="39"/>
    <w:rsid w:val="00B0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aliases w:val="Listenabsatz-1-Ebene Zchn"/>
    <w:basedOn w:val="Absatz-Standardschriftart"/>
    <w:link w:val="Listenabsatz"/>
    <w:uiPriority w:val="34"/>
    <w:rsid w:val="00B05A28"/>
    <w:rPr>
      <w:rFonts w:ascii="Arial" w:hAnsi="Arial" w:cs="Arial"/>
    </w:rPr>
  </w:style>
  <w:style w:type="table" w:customStyle="1" w:styleId="Tabellenraster1">
    <w:name w:val="Tabellenraster1"/>
    <w:basedOn w:val="NormaleTabelle"/>
    <w:next w:val="Tabellenraster"/>
    <w:uiPriority w:val="39"/>
    <w:rsid w:val="0033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5598</Characters>
  <Application>Microsoft Office Word</Application>
  <DocSecurity>0</DocSecurity>
  <Lines>46</Lines>
  <Paragraphs>12</Paragraphs>
  <ScaleCrop>false</ScaleCrop>
  <Company>BiBB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Surya</dc:creator>
  <cp:keywords/>
  <dc:description/>
  <cp:lastModifiedBy>Saul, Surya</cp:lastModifiedBy>
  <cp:revision>7</cp:revision>
  <dcterms:created xsi:type="dcterms:W3CDTF">2021-03-15T13:10:00Z</dcterms:created>
  <dcterms:modified xsi:type="dcterms:W3CDTF">2021-03-26T15:01:00Z</dcterms:modified>
</cp:coreProperties>
</file>